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B0A" w:rsidRPr="006015AE" w:rsidRDefault="00C86CEE" w:rsidP="00093C84">
      <w:pPr>
        <w:pStyle w:val="Heading2"/>
        <w:rPr>
          <w:rFonts w:asciiTheme="minorBidi" w:hAnsiTheme="minorBidi" w:cstheme="minorBidi"/>
          <w:szCs w:val="24"/>
          <w:rtl/>
        </w:rPr>
      </w:pPr>
      <w:bookmarkStart w:id="0" w:name="_Toc251407956"/>
      <w:bookmarkStart w:id="1" w:name="_Toc252433818"/>
      <w:bookmarkStart w:id="2" w:name="OLE_LINK1"/>
      <w:bookmarkStart w:id="3" w:name="OLE_LINK2"/>
      <w:r w:rsidRPr="006015AE">
        <w:rPr>
          <w:rFonts w:asciiTheme="minorBidi" w:hAnsiTheme="minorBidi" w:cstheme="minorBidi"/>
          <w:szCs w:val="24"/>
          <w:rtl/>
        </w:rPr>
        <w:t>الوحدة ز 2 التمرين 4: نموذج بروتوكول حماية البيانات</w:t>
      </w:r>
      <w:r w:rsidRPr="006015AE">
        <w:rPr>
          <w:rStyle w:val="FootnoteReference"/>
          <w:rFonts w:asciiTheme="minorBidi" w:hAnsiTheme="minorBidi" w:cstheme="minorBidi"/>
          <w:szCs w:val="24"/>
          <w:rtl/>
        </w:rPr>
        <w:footnoteReference w:id="1"/>
      </w:r>
      <w:bookmarkEnd w:id="0"/>
      <w:bookmarkEnd w:id="1"/>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jc w:val="center"/>
        <w:rPr>
          <w:rFonts w:asciiTheme="minorBidi" w:hAnsiTheme="minorBidi" w:cstheme="minorBidi"/>
          <w:bCs/>
          <w:rtl/>
        </w:rPr>
      </w:pPr>
      <w:r w:rsidRPr="006015AE">
        <w:rPr>
          <w:rFonts w:asciiTheme="minorBidi" w:hAnsiTheme="minorBidi" w:cstheme="minorBidi"/>
          <w:bCs/>
          <w:rtl/>
        </w:rPr>
        <w:t xml:space="preserve">نموذج بروتوكولات حماية البيانات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rPr>
          <w:rFonts w:asciiTheme="minorBidi" w:hAnsiTheme="minorBidi" w:cstheme="minorBidi"/>
          <w:rtl/>
        </w:rPr>
      </w:pPr>
      <w:r w:rsidRPr="006015AE">
        <w:rPr>
          <w:rFonts w:asciiTheme="minorBidi" w:hAnsiTheme="minorBidi" w:cstheme="minorBidi"/>
          <w:rtl/>
        </w:rPr>
        <w:t>تعكس الوثيقة التالية أفضل الممارسات الخاصة بحماية البيانات والتي يتعين الاسترشاد بها عند وضع بروتوكولات حماية البيانات الخاصة ببرنامجك.</w:t>
      </w:r>
      <w:r w:rsidR="006015AE">
        <w:rPr>
          <w:rFonts w:asciiTheme="minorBidi" w:hAnsiTheme="minorBidi" w:cstheme="minorBidi"/>
          <w:rtl/>
        </w:rPr>
        <w:t xml:space="preserve"> </w:t>
      </w:r>
      <w:r w:rsidRPr="006015AE">
        <w:rPr>
          <w:rFonts w:asciiTheme="minorBidi" w:hAnsiTheme="minorBidi" w:cstheme="minorBidi"/>
          <w:rtl/>
        </w:rPr>
        <w:t xml:space="preserve">ويتعين مراجعة المعلومات الواردة أدناه وتكييفها لتتماشى مع خصوصيات البلد والسياق الذي تعمل فيه.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rPr>
          <w:rFonts w:asciiTheme="minorBidi" w:hAnsiTheme="minorBidi" w:cstheme="minorBidi"/>
          <w:rtl/>
        </w:rPr>
      </w:pPr>
      <w:r w:rsidRPr="006015AE">
        <w:rPr>
          <w:rFonts w:asciiTheme="minorBidi" w:hAnsiTheme="minorBidi" w:cstheme="minorBidi"/>
          <w:rtl/>
        </w:rPr>
        <w:t>من المهم أن نتذكر أن المعلومات الواردة عن الأطفال تخص الأطفال</w:t>
      </w:r>
      <w:r w:rsidR="006015AE">
        <w:rPr>
          <w:rFonts w:asciiTheme="minorBidi" w:hAnsiTheme="minorBidi" w:cstheme="minorBidi"/>
          <w:rtl/>
        </w:rPr>
        <w:t xml:space="preserve"> </w:t>
      </w:r>
      <w:r w:rsidRPr="006015AE">
        <w:rPr>
          <w:rFonts w:asciiTheme="minorBidi" w:hAnsiTheme="minorBidi" w:cstheme="minorBidi"/>
          <w:rtl/>
        </w:rPr>
        <w:t>وأولئك الذين يحتفظون بالمعلومات يقومون بذلك نيابة عنهم لذا يجب عليهم استخدامها فقط لصالحهم وبموافقتهم المستنيرة.</w:t>
      </w:r>
      <w:r w:rsidR="006015AE">
        <w:rPr>
          <w:rFonts w:asciiTheme="minorBidi" w:hAnsiTheme="minorBidi" w:cstheme="minorBidi"/>
          <w:rtl/>
        </w:rPr>
        <w:t xml:space="preserve"> </w:t>
      </w:r>
      <w:r w:rsidRPr="006015AE">
        <w:rPr>
          <w:rFonts w:asciiTheme="minorBidi" w:hAnsiTheme="minorBidi" w:cstheme="minorBidi"/>
          <w:rtl/>
        </w:rPr>
        <w:t>وتستند بروتوكولات حماية البيانات التالية إلى مفهوم السرية التي تُعتبر عنصرًا أساسيًا من عناصر مبادئ المصالح الفضلى والمشاركة للأطفال</w:t>
      </w:r>
      <w:r w:rsidRPr="006015AE">
        <w:rPr>
          <w:rStyle w:val="FootnoteReference"/>
          <w:rFonts w:asciiTheme="minorBidi" w:hAnsiTheme="minorBidi" w:cstheme="minorBidi"/>
          <w:rtl/>
        </w:rPr>
        <w:footnoteReference w:id="2"/>
      </w:r>
      <w:r w:rsidRPr="006015AE">
        <w:rPr>
          <w:rFonts w:asciiTheme="minorBidi" w:hAnsiTheme="minorBidi" w:cstheme="minorBidi"/>
          <w:rtl/>
        </w:rPr>
        <w:t>.</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rPr>
          <w:rFonts w:asciiTheme="minorBidi" w:hAnsiTheme="minorBidi" w:cstheme="minorBidi"/>
          <w:rtl/>
        </w:rPr>
      </w:pPr>
      <w:r w:rsidRPr="006015AE">
        <w:rPr>
          <w:rFonts w:asciiTheme="minorBidi" w:hAnsiTheme="minorBidi" w:cstheme="minorBidi"/>
          <w:rtl/>
        </w:rPr>
        <w:t>السرية تعني ضمان ألا يتم استخدام المعلومات التي يكشفها لك الطفل إلا بموافقته أو برغبته ولا تتم مشاركتها مع الآخرين إلا بإذنه إلا في حالة الظروف الاستثنائية (أي مع تحديد شواغل سلامة خطيرة (انظر النقطة 8) أو عندما يطالب من مقدمي الرعاية قانونيًا بالإبلاغ عن اعتداء (انظر النقطة 9)).</w:t>
      </w:r>
      <w:r w:rsidR="006015AE">
        <w:rPr>
          <w:rFonts w:asciiTheme="minorBidi" w:hAnsiTheme="minorBidi" w:cstheme="minorBidi"/>
          <w:rtl/>
        </w:rPr>
        <w:t xml:space="preserve"> </w:t>
      </w:r>
      <w:r w:rsidRPr="006015AE">
        <w:rPr>
          <w:rFonts w:asciiTheme="minorBidi" w:hAnsiTheme="minorBidi" w:cstheme="minorBidi"/>
          <w:rtl/>
        </w:rPr>
        <w:t>ويمكن تخزين المعلومات أو نقلها شفهيًا أو كتابيًا أو عن طريق البيانات الإلكترونية.</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rPr>
          <w:rFonts w:asciiTheme="minorBidi" w:hAnsiTheme="minorBidi" w:cstheme="minorBidi"/>
          <w:rtl/>
        </w:rPr>
      </w:pPr>
      <w:r w:rsidRPr="006015AE">
        <w:rPr>
          <w:rFonts w:asciiTheme="minorBidi" w:hAnsiTheme="minorBidi" w:cstheme="minorBidi"/>
          <w:rtl/>
        </w:rPr>
        <w:t>تخدم السرية مصلحة الطفل كثيرًا إذ أنها تمنع إساءة استخدام المعلومات المتعلقة به لأغراض خارجة عن إرادته، بما في ذلك الأغراض التي تؤدي إلى استغلاله ووصمه وسوء معاملته - سواء عن قصد أو غير قصد.</w:t>
      </w:r>
      <w:r w:rsidR="006015AE">
        <w:rPr>
          <w:rFonts w:asciiTheme="minorBidi" w:hAnsiTheme="minorBidi" w:cstheme="minorBidi"/>
          <w:rtl/>
        </w:rPr>
        <w:t xml:space="preserve"> </w:t>
      </w:r>
      <w:r w:rsidRPr="006015AE">
        <w:rPr>
          <w:rFonts w:asciiTheme="minorBidi" w:hAnsiTheme="minorBidi" w:cstheme="minorBidi"/>
          <w:rtl/>
        </w:rPr>
        <w:t>كما تساعد على ضمان الاستماع إلى وجهات نظر الطفل وآرائه واحترامها في جميع الأوقات.</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jc w:val="center"/>
        <w:rPr>
          <w:rFonts w:asciiTheme="minorBidi" w:hAnsiTheme="minorBidi" w:cstheme="minorBidi"/>
          <w:b/>
          <w:u w:val="single"/>
          <w:rtl/>
        </w:rPr>
      </w:pPr>
      <w:r w:rsidRPr="006015AE">
        <w:rPr>
          <w:rFonts w:asciiTheme="minorBidi" w:hAnsiTheme="minorBidi" w:cstheme="minorBidi"/>
          <w:b/>
          <w:u w:val="single"/>
          <w:rtl/>
        </w:rPr>
        <w:t>التعريفات الرئيسية:</w:t>
      </w:r>
    </w:p>
    <w:p w:rsidR="004B0B0A" w:rsidRPr="006015AE" w:rsidRDefault="00C86CEE" w:rsidP="00093C84">
      <w:pPr>
        <w:tabs>
          <w:tab w:val="left" w:pos="1440"/>
          <w:tab w:val="left" w:pos="1890"/>
          <w:tab w:val="left" w:pos="2160"/>
        </w:tabs>
        <w:spacing w:before="120" w:after="120"/>
        <w:ind w:left="1890" w:hanging="1890"/>
        <w:rPr>
          <w:rFonts w:asciiTheme="minorBidi" w:hAnsiTheme="minorBidi" w:cstheme="minorBidi"/>
          <w:rtl/>
        </w:rPr>
      </w:pPr>
      <w:r w:rsidRPr="006015AE">
        <w:rPr>
          <w:rFonts w:asciiTheme="minorBidi" w:hAnsiTheme="minorBidi" w:cstheme="minorBidi"/>
          <w:b/>
          <w:i/>
          <w:rtl/>
        </w:rPr>
        <w:t>السرية:</w:t>
      </w:r>
      <w:r w:rsidR="006015AE">
        <w:rPr>
          <w:rFonts w:asciiTheme="minorBidi" w:hAnsiTheme="minorBidi" w:cstheme="minorBidi" w:hint="cs"/>
          <w:b/>
          <w:i/>
          <w:rtl/>
        </w:rPr>
        <w:tab/>
      </w:r>
      <w:r w:rsidRPr="006015AE">
        <w:rPr>
          <w:rFonts w:asciiTheme="minorBidi" w:hAnsiTheme="minorBidi" w:cstheme="minorBidi"/>
          <w:b/>
          <w:i/>
          <w:rtl/>
        </w:rPr>
        <w:tab/>
      </w:r>
      <w:r w:rsidRPr="006015AE">
        <w:rPr>
          <w:rFonts w:asciiTheme="minorBidi" w:hAnsiTheme="minorBidi" w:cstheme="minorBidi"/>
          <w:rtl/>
        </w:rPr>
        <w:t>مبدأ يتطلب من مقدمي الخدمات حماية المعلومات التي يتم جمعها عن العملاء وضمان عدم السماح بالوصول إليها إلا بإذن صريح من العميل.</w:t>
      </w:r>
    </w:p>
    <w:p w:rsidR="004B0B0A" w:rsidRPr="006015AE" w:rsidRDefault="00C86CEE" w:rsidP="00093C84">
      <w:pPr>
        <w:tabs>
          <w:tab w:val="left" w:pos="1890"/>
        </w:tabs>
        <w:spacing w:before="120" w:after="120"/>
        <w:ind w:left="1890" w:hanging="1890"/>
        <w:rPr>
          <w:rFonts w:asciiTheme="minorBidi" w:hAnsiTheme="minorBidi" w:cstheme="minorBidi"/>
          <w:b/>
          <w:i/>
          <w:rtl/>
        </w:rPr>
      </w:pPr>
      <w:r w:rsidRPr="006015AE">
        <w:rPr>
          <w:rFonts w:asciiTheme="minorBidi" w:hAnsiTheme="minorBidi" w:cstheme="minorBidi"/>
          <w:b/>
          <w:i/>
          <w:rtl/>
        </w:rPr>
        <w:t xml:space="preserve">الموافقة المستنيرة: </w:t>
      </w:r>
      <w:r w:rsidRPr="006015AE">
        <w:rPr>
          <w:rFonts w:asciiTheme="minorBidi" w:hAnsiTheme="minorBidi" w:cstheme="minorBidi"/>
          <w:b/>
          <w:i/>
          <w:rtl/>
        </w:rPr>
        <w:tab/>
        <w:t>‏</w:t>
      </w:r>
      <w:r w:rsidRPr="006015AE">
        <w:rPr>
          <w:rFonts w:asciiTheme="minorBidi" w:hAnsiTheme="minorBidi" w:cstheme="minorBidi"/>
          <w:rtl/>
        </w:rPr>
        <w:t xml:space="preserve"> الموافقة الطوعية من شخص يتحلى بالقدرة على إبداء الموافقة ويتمتع بحرية الاختيار لتلقي خدمات (للأطفال والبالغين الذي يتجاوزون الـ15</w:t>
      </w:r>
      <w:r w:rsidRPr="006015AE">
        <w:rPr>
          <w:rStyle w:val="FootnoteReference"/>
          <w:rFonts w:asciiTheme="minorBidi" w:hAnsiTheme="minorBidi" w:cstheme="minorBidi"/>
          <w:rtl/>
        </w:rPr>
        <w:footnoteReference w:id="3"/>
      </w:r>
      <w:r w:rsidRPr="006015AE">
        <w:rPr>
          <w:rFonts w:asciiTheme="minorBidi" w:hAnsiTheme="minorBidi" w:cstheme="minorBidi"/>
          <w:rtl/>
        </w:rPr>
        <w:t>) ويتطلب ذلك من أخصائي الحالات مشاركة معلومات عن هذه الخدمات والمخاطر المحتملة المتعلقة بمشاركة المعلومات</w:t>
      </w:r>
    </w:p>
    <w:p w:rsidR="004B0B0A" w:rsidRPr="006015AE" w:rsidRDefault="00C86CEE" w:rsidP="00093C84">
      <w:pPr>
        <w:tabs>
          <w:tab w:val="left" w:pos="1890"/>
        </w:tabs>
        <w:spacing w:before="120" w:after="120"/>
        <w:ind w:left="1890" w:hanging="1890"/>
        <w:rPr>
          <w:rFonts w:asciiTheme="minorBidi" w:hAnsiTheme="minorBidi" w:cstheme="minorBidi"/>
          <w:rtl/>
        </w:rPr>
      </w:pPr>
      <w:r w:rsidRPr="006015AE">
        <w:rPr>
          <w:rFonts w:asciiTheme="minorBidi" w:hAnsiTheme="minorBidi" w:cstheme="minorBidi"/>
          <w:b/>
          <w:i/>
          <w:rtl/>
        </w:rPr>
        <w:t>المصادقة المستنيرة: ‏</w:t>
      </w:r>
      <w:r w:rsidRPr="006015AE">
        <w:rPr>
          <w:rFonts w:asciiTheme="minorBidi" w:hAnsiTheme="minorBidi" w:cstheme="minorBidi"/>
          <w:rtl/>
        </w:rPr>
        <w:tab/>
        <w:t>الرغبة الصريحة في المشاركة في الخدمات، بالنسبة للأطفال دون سن الـ 15</w:t>
      </w:r>
      <w:r w:rsidRPr="006015AE">
        <w:rPr>
          <w:rStyle w:val="FootnoteReference"/>
          <w:rFonts w:asciiTheme="minorBidi" w:hAnsiTheme="minorBidi" w:cstheme="minorBidi"/>
          <w:rtl/>
        </w:rPr>
        <w:footnoteReference w:id="4"/>
      </w:r>
      <w:r w:rsidRPr="006015AE">
        <w:rPr>
          <w:rFonts w:asciiTheme="minorBidi" w:hAnsiTheme="minorBidi" w:cstheme="minorBidi"/>
          <w:rtl/>
        </w:rPr>
        <w:t>، وتتطلب نفس مشاركة المعلومات (بطريقة مناسبة للطفل) حول الخدمات والمخاطر المحتملة</w:t>
      </w:r>
    </w:p>
    <w:p w:rsidR="004B0B0A" w:rsidRPr="006015AE" w:rsidRDefault="00C86CEE" w:rsidP="006015AE">
      <w:pPr>
        <w:tabs>
          <w:tab w:val="left" w:pos="1080"/>
          <w:tab w:val="left" w:pos="1440"/>
          <w:tab w:val="left" w:pos="1890"/>
          <w:tab w:val="left" w:pos="2520"/>
        </w:tabs>
        <w:spacing w:before="120" w:after="120"/>
        <w:ind w:left="1890" w:hanging="1890"/>
        <w:rPr>
          <w:rFonts w:asciiTheme="minorBidi" w:hAnsiTheme="minorBidi" w:cstheme="minorBidi"/>
          <w:rtl/>
        </w:rPr>
      </w:pPr>
      <w:r w:rsidRPr="006015AE">
        <w:rPr>
          <w:rFonts w:asciiTheme="minorBidi" w:hAnsiTheme="minorBidi" w:cstheme="minorBidi"/>
          <w:b/>
          <w:i/>
          <w:rtl/>
        </w:rPr>
        <w:t>الإبلاغ الإلزامي:</w:t>
      </w:r>
      <w:r w:rsidR="006015AE">
        <w:rPr>
          <w:rFonts w:asciiTheme="minorBidi" w:hAnsiTheme="minorBidi" w:cstheme="minorBidi" w:hint="cs"/>
          <w:b/>
          <w:i/>
          <w:rtl/>
        </w:rPr>
        <w:tab/>
      </w:r>
      <w:r w:rsidR="006015AE">
        <w:rPr>
          <w:rFonts w:asciiTheme="minorBidi" w:hAnsiTheme="minorBidi" w:cstheme="minorBidi" w:hint="cs"/>
          <w:b/>
          <w:i/>
          <w:rtl/>
        </w:rPr>
        <w:tab/>
      </w:r>
      <w:r w:rsidRPr="006015AE">
        <w:rPr>
          <w:rFonts w:asciiTheme="minorBidi" w:hAnsiTheme="minorBidi" w:cstheme="minorBidi"/>
          <w:b/>
          <w:i/>
          <w:rtl/>
        </w:rPr>
        <w:t>‏</w:t>
      </w:r>
      <w:r w:rsidRPr="006015AE">
        <w:rPr>
          <w:rFonts w:asciiTheme="minorBidi" w:hAnsiTheme="minorBidi" w:cstheme="minorBidi"/>
          <w:rtl/>
        </w:rPr>
        <w:t xml:space="preserve">يُستخدم المصطلح ليصف الأنظمة القانونية أو القضائية التي تُلزم مقدمي الخدمات بالإبلاغ عن بعض تصنيفات الجرائم أو الاعتداء (مثل العنف الجنساني أو الاعتداء على الطفل ونحوه) ويجب النظر في المصالح الفضلى للطفل عندما تقوم الوكالة بدراسة ما إذا كانت ستقوم بالامتثال لهذه السياسات أم لا. </w:t>
      </w:r>
    </w:p>
    <w:p w:rsidR="004B0B0A" w:rsidRPr="006015AE" w:rsidRDefault="00C86CEE" w:rsidP="00093C84">
      <w:pPr>
        <w:tabs>
          <w:tab w:val="left" w:pos="1080"/>
          <w:tab w:val="left" w:pos="1440"/>
          <w:tab w:val="left" w:pos="1890"/>
        </w:tabs>
        <w:spacing w:before="120" w:after="120"/>
        <w:ind w:left="1890" w:hanging="1890"/>
        <w:rPr>
          <w:rFonts w:asciiTheme="minorBidi" w:hAnsiTheme="minorBidi" w:cstheme="minorBidi"/>
          <w:rtl/>
        </w:rPr>
      </w:pPr>
      <w:r w:rsidRPr="006015AE">
        <w:rPr>
          <w:rFonts w:asciiTheme="minorBidi" w:hAnsiTheme="minorBidi" w:cstheme="minorBidi"/>
          <w:rtl/>
        </w:rPr>
        <w:t>‏</w:t>
      </w:r>
      <w:r w:rsidRPr="006015AE">
        <w:rPr>
          <w:rFonts w:asciiTheme="minorBidi" w:hAnsiTheme="minorBidi" w:cstheme="minorBidi"/>
          <w:b/>
          <w:i/>
          <w:rtl/>
        </w:rPr>
        <w:t xml:space="preserve">الحاجة إلى المعرفة: </w:t>
      </w:r>
      <w:r w:rsidRPr="006015AE">
        <w:rPr>
          <w:rFonts w:asciiTheme="minorBidi" w:hAnsiTheme="minorBidi" w:cstheme="minorBidi"/>
          <w:rtl/>
        </w:rPr>
        <w:tab/>
        <w:t xml:space="preserve">تقييد </w:t>
      </w:r>
      <w:r w:rsidR="00093C84">
        <w:rPr>
          <w:rFonts w:asciiTheme="minorBidi" w:hAnsiTheme="minorBidi" w:cstheme="minorBidi" w:hint="cs"/>
          <w:rtl/>
        </w:rPr>
        <w:t xml:space="preserve">مشاركة </w:t>
      </w:r>
      <w:r w:rsidRPr="006015AE">
        <w:rPr>
          <w:rFonts w:asciiTheme="minorBidi" w:hAnsiTheme="minorBidi" w:cstheme="minorBidi"/>
          <w:rtl/>
        </w:rPr>
        <w:t>المعلومات التي تُعتبر حساسة ومشاركتها فقط مع الأفراد الذين ستمكنهم هذا المعلومات من حماية الطفل</w:t>
      </w:r>
      <w:r w:rsidR="00093C84">
        <w:rPr>
          <w:rFonts w:asciiTheme="minorBidi" w:hAnsiTheme="minorBidi" w:cstheme="minorBidi" w:hint="cs"/>
          <w:rtl/>
        </w:rPr>
        <w:t>.</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rPr>
          <w:rFonts w:asciiTheme="minorBidi" w:hAnsiTheme="minorBidi" w:cstheme="minorBidi"/>
          <w:bCs/>
          <w:rtl/>
        </w:rPr>
      </w:pPr>
      <w:r w:rsidRPr="006015AE">
        <w:rPr>
          <w:rFonts w:asciiTheme="minorBidi" w:hAnsiTheme="minorBidi" w:cstheme="minorBidi"/>
          <w:bCs/>
          <w:rtl/>
        </w:rPr>
        <w:t>حماية البيانات العامة</w:t>
      </w: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من المهم وجود فهم واضح للسياق الذي تعمل فيه. وقبل البدء في استخدام قاعدة البيانات، ينبغي إجراء تقييم لجميع القوانين المحلية المعمول بها لحماية البيانات والآثار المحتملة التي قد تترتب عليها بالنسبة للموظفين والمنظمات المعنية. وينبغي أن تأخذ هذه العملية في الاعتبار أيضًا مستوى حساسية البيانات التي سيتم جمعها المتعلقة بالمخاطر الأمنية الخاصة بالسياق.</w:t>
      </w:r>
      <w:r w:rsidR="006015AE">
        <w:rPr>
          <w:rFonts w:asciiTheme="minorBidi" w:hAnsiTheme="minorBidi" w:cstheme="minorBidi"/>
          <w:rtl/>
        </w:rPr>
        <w:t xml:space="preserve"> </w:t>
      </w:r>
      <w:r w:rsidRPr="006015AE">
        <w:rPr>
          <w:rFonts w:asciiTheme="minorBidi" w:hAnsiTheme="minorBidi" w:cstheme="minorBidi"/>
          <w:rtl/>
        </w:rPr>
        <w:t>وفي الحالات التي ينبغي فيها مشاركة البيانات أو نقلها عبر الحدود، يجب على الوكالات مراعاة القيود المحتملة لحماية البيانات (على سبيل المثال مسؤولي الأمن على الحدود الذين قد يطلبون الاطلاع على البيانات).</w:t>
      </w:r>
      <w:r w:rsidR="006015AE">
        <w:rPr>
          <w:rFonts w:asciiTheme="minorBidi" w:hAnsiTheme="minorBidi" w:cstheme="minorBidi"/>
          <w:rtl/>
        </w:rPr>
        <w:t xml:space="preserve"> </w:t>
      </w:r>
    </w:p>
    <w:p w:rsidR="004B0B0A" w:rsidRPr="006015AE" w:rsidRDefault="00B26DEA" w:rsidP="006015AE">
      <w:pPr>
        <w:spacing w:line="276" w:lineRule="auto"/>
        <w:ind w:left="72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على جميع الموظفين المشاركين في العمل أن يكونوا على دراية ببروتوكولات حماية البيانات والآثار الأمنية الخاصة بالبيانات الحساسة.</w:t>
      </w:r>
    </w:p>
    <w:p w:rsidR="004B0B0A" w:rsidRPr="006015AE" w:rsidRDefault="00B26DEA" w:rsidP="006015AE">
      <w:pPr>
        <w:spacing w:line="276" w:lineRule="auto"/>
        <w:ind w:left="72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على الوكالات التي بحوزتها معلومات عن الأطفال أن تكون لديها سياسة مكتوبة لحماية البيانات، تستند إلى مبدأ السرية، والتي يجب صياغتها على نحو مثالي ضمن سياسة حماية الأطفال الأكثر شمولاً الخاصة بالوكالات.</w:t>
      </w:r>
      <w:r w:rsidR="006015AE">
        <w:rPr>
          <w:rFonts w:asciiTheme="minorBidi" w:hAnsiTheme="minorBidi" w:cstheme="minorBidi"/>
          <w:rtl/>
        </w:rPr>
        <w:t xml:space="preserve"> </w:t>
      </w:r>
      <w:r w:rsidRPr="006015AE">
        <w:rPr>
          <w:rFonts w:asciiTheme="minorBidi" w:hAnsiTheme="minorBidi" w:cstheme="minorBidi"/>
          <w:rtl/>
        </w:rPr>
        <w:t>ويجب أن تنص عقود الموظفين على بند يلزم إبرام هذه السياسة.</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تخصيص رمز لكل طفل من الأطفال الذين يتم جمع معلومات عنهم وذلك وفقًا لنظام ترميز قياسي متفق عليه.</w:t>
      </w:r>
      <w:r w:rsidR="006015AE">
        <w:rPr>
          <w:rFonts w:asciiTheme="minorBidi" w:hAnsiTheme="minorBidi" w:cstheme="minorBidi"/>
          <w:rtl/>
        </w:rPr>
        <w:t xml:space="preserve"> </w:t>
      </w:r>
      <w:r w:rsidRPr="006015AE">
        <w:rPr>
          <w:rFonts w:asciiTheme="minorBidi" w:hAnsiTheme="minorBidi" w:cstheme="minorBidi"/>
          <w:rtl/>
        </w:rPr>
        <w:t>ومن الممكن أن يشير هذا الرمز إلى جوانب تحديد الهوية أو مناطق المنشأ ولكن يجب ألا يساعد في الكشف عن هوية الطفل.</w:t>
      </w:r>
      <w:r w:rsidR="006015AE">
        <w:rPr>
          <w:rFonts w:asciiTheme="minorBidi" w:hAnsiTheme="minorBidi" w:cstheme="minorBidi"/>
          <w:rtl/>
        </w:rPr>
        <w:t xml:space="preserve"> </w:t>
      </w:r>
      <w:r w:rsidRPr="006015AE">
        <w:rPr>
          <w:rFonts w:asciiTheme="minorBidi" w:hAnsiTheme="minorBidi" w:cstheme="minorBidi"/>
          <w:rtl/>
        </w:rPr>
        <w:t>ويجب استخدام هذا الرمز للإشارة إلى حالة الطفل إما شفهيًا أو ورقياً أو إلكترونيًا (بما في ذلك مستندات Word ورسائل البريد الالكتروني ومحادثات عبر سكايب ونحو ذلك) في موضع أي معلومات تعريفية مثل الاسم أو تاريخ الميلاد.</w:t>
      </w:r>
      <w:r w:rsidR="006015AE">
        <w:rPr>
          <w:rFonts w:asciiTheme="minorBidi" w:hAnsiTheme="minorBidi" w:cstheme="minorBidi"/>
          <w:rtl/>
        </w:rPr>
        <w:t xml:space="preserve"> </w:t>
      </w:r>
      <w:r w:rsidRPr="006015AE">
        <w:rPr>
          <w:rFonts w:asciiTheme="minorBidi" w:hAnsiTheme="minorBidi" w:cstheme="minorBidi"/>
          <w:rtl/>
        </w:rPr>
        <w:t>وينبغي تخزين جميع الملفات وفقًا للرمز المخصص.</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 xml:space="preserve">يجب أن يقتصر الاطلاع على المعلومات المتعلقة بالأطفال على أولئك الذين هم بحاجة إلى معرفتها وعلى الأشخاص الذين يوافق الأطفال على اطلاعهم عليها.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على الذين يقومون بجمع المعلومات الحصول على موافقة مستنيرة من الطفل (و/أو والده/مقدم الرعاية) ويفضل أن تكون في صورة مكتوبة.</w:t>
      </w:r>
      <w:r w:rsidR="006015AE">
        <w:rPr>
          <w:rFonts w:asciiTheme="minorBidi" w:hAnsiTheme="minorBidi" w:cstheme="minorBidi"/>
          <w:rtl/>
        </w:rPr>
        <w:t xml:space="preserve"> </w:t>
      </w:r>
      <w:r w:rsidRPr="006015AE">
        <w:rPr>
          <w:rFonts w:asciiTheme="minorBidi" w:hAnsiTheme="minorBidi" w:cstheme="minorBidi"/>
          <w:rtl/>
        </w:rPr>
        <w:t>فإذا كان الطفل صغيرًا (دون سن الخامسة عشر في العادة) على أن يقدم الموافقة، يجب الحصول على مصادقتهم المستنيرة (أي رغبتهم في المشاركة في الخدمات) مع الحصول على موافقة الوالد أو مقدم الرعاية.</w:t>
      </w:r>
      <w:r w:rsidR="006015AE">
        <w:rPr>
          <w:rFonts w:asciiTheme="minorBidi" w:hAnsiTheme="minorBidi" w:cstheme="minorBidi"/>
          <w:rtl/>
        </w:rPr>
        <w:t xml:space="preserve"> </w:t>
      </w:r>
      <w:r w:rsidRPr="006015AE">
        <w:rPr>
          <w:rFonts w:asciiTheme="minorBidi" w:hAnsiTheme="minorBidi" w:cstheme="minorBidi"/>
          <w:rtl/>
        </w:rPr>
        <w:t>ويجب أن تتضمن عملية الموافقة/المصادقة المستنيرة التوضيح للطفل (ووالده/مقدم الرعاية، حيثما أمكن) سبب جمع المعلومات وكيف سيتم استخدامها ومن سيستخدمها.</w:t>
      </w:r>
      <w:r w:rsidR="006015AE">
        <w:rPr>
          <w:rFonts w:asciiTheme="minorBidi" w:hAnsiTheme="minorBidi" w:cstheme="minorBidi"/>
          <w:rtl/>
        </w:rPr>
        <w:t xml:space="preserve"> </w:t>
      </w:r>
      <w:r w:rsidRPr="006015AE">
        <w:rPr>
          <w:rFonts w:asciiTheme="minorBidi" w:hAnsiTheme="minorBidi" w:cstheme="minorBidi"/>
          <w:rtl/>
        </w:rPr>
        <w:t>وينبغي أن تتم مشاركة المعلومات بلغة وصيغ مناسبة لعمر الطفل وسعة استيعابه، كما ينبغي إعطاء الطفل (والوالد/مقدم الرعاية) الفرص لطرح أي أسئلة. أما في الحالات التي تتواجد بها قوانين إبلاغ إلزامي عاملة، يجب أن يوضح مقدمي الخدمات هذه القيود المفروضة على السرية عند الحصول على الموافقة.</w:t>
      </w:r>
      <w:r w:rsidR="006015AE">
        <w:rPr>
          <w:rFonts w:asciiTheme="minorBidi" w:hAnsiTheme="minorBidi" w:cstheme="minorBidi"/>
          <w:rtl/>
        </w:rPr>
        <w:t xml:space="preserve"> </w:t>
      </w:r>
      <w:r w:rsidRPr="006015AE">
        <w:rPr>
          <w:rFonts w:asciiTheme="minorBidi" w:hAnsiTheme="minorBidi" w:cstheme="minorBidi"/>
          <w:rtl/>
        </w:rPr>
        <w:t>وحتى مع الأطفال الصغار للغاية (أي ما دون سن الخامسة) يجب بذل الجهد لمشاركة المعلومات وتوضيحها بطريقة مناسبة.</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rPr>
          <w:rFonts w:asciiTheme="minorBidi" w:hAnsiTheme="minorBidi" w:cstheme="minorBidi"/>
          <w:rtl/>
        </w:rPr>
      </w:pPr>
      <w:r w:rsidRPr="006015AE">
        <w:rPr>
          <w:rFonts w:asciiTheme="minorBidi" w:hAnsiTheme="minorBidi" w:cstheme="minorBidi"/>
          <w:rtl/>
        </w:rPr>
        <w:t>يجب إعطاء الأطفال الفرصة لتسليط الضوء على أي معلومات لا يرغبون في الكشف عنها لأي شخص بعينه.</w:t>
      </w:r>
      <w:r w:rsidR="006015AE">
        <w:rPr>
          <w:rFonts w:asciiTheme="minorBidi" w:hAnsiTheme="minorBidi" w:cstheme="minorBidi"/>
          <w:rtl/>
        </w:rPr>
        <w:t xml:space="preserve"> </w:t>
      </w:r>
      <w:r w:rsidRPr="006015AE">
        <w:rPr>
          <w:rFonts w:asciiTheme="minorBidi" w:hAnsiTheme="minorBidi" w:cstheme="minorBidi"/>
          <w:rtl/>
        </w:rPr>
        <w:t>فعلى سبيل المثال، قد لا يرغبون في إخطار أسرهم بتفاصيل شخصية عنهم وإنما قد يفضلون بدلًا من ذلك التواصل وجهًا لوجه أو قد لا يفضلونه مطلقًا.</w:t>
      </w:r>
      <w:r w:rsidR="006015AE">
        <w:rPr>
          <w:rFonts w:asciiTheme="minorBidi" w:hAnsiTheme="minorBidi" w:cstheme="minorBidi"/>
          <w:rtl/>
        </w:rPr>
        <w:t xml:space="preserve"> </w:t>
      </w:r>
    </w:p>
    <w:p w:rsidR="004B0B0A" w:rsidRPr="006015AE" w:rsidRDefault="00B26DEA" w:rsidP="006015AE">
      <w:pPr>
        <w:pStyle w:val="ListParagraph"/>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lastRenderedPageBreak/>
        <w:t>في ظروف استثنائية، يمكن مشاركة المعلومات التي يتم الإفصاح عنها من قبل الأطفال ضد رغباتهم إذا اعتبر أن ذلك - بعد إجراء تقييم دقيق - يصب في مصلحتهم، وفي المقابل يجب يُشرح لهم أسباب القيام بذلك بشكل واضح.</w:t>
      </w:r>
      <w:r w:rsidR="006015AE">
        <w:rPr>
          <w:rFonts w:asciiTheme="minorBidi" w:hAnsiTheme="minorBidi" w:cstheme="minorBidi"/>
          <w:rtl/>
        </w:rPr>
        <w:t xml:space="preserve"> </w:t>
      </w:r>
      <w:r w:rsidRPr="006015AE">
        <w:rPr>
          <w:rFonts w:asciiTheme="minorBidi" w:hAnsiTheme="minorBidi" w:cstheme="minorBidi"/>
          <w:rtl/>
        </w:rPr>
        <w:t>وليست هناك قاعدة سريعة للإفصاح عن المعلومات التي تتم مشاركتها من قِبل الطفل، ولكن بشكل عام يجب مشاركة المعلومات عندما يكون الطفل أو شخص آخر في خطر التعرض للأذى.</w:t>
      </w:r>
      <w:r w:rsidR="006015AE">
        <w:rPr>
          <w:rFonts w:asciiTheme="minorBidi" w:hAnsiTheme="minorBidi" w:cstheme="minorBidi"/>
          <w:rtl/>
        </w:rPr>
        <w:t xml:space="preserve"> </w:t>
      </w:r>
      <w:r w:rsidRPr="006015AE">
        <w:rPr>
          <w:rFonts w:asciiTheme="minorBidi" w:hAnsiTheme="minorBidi" w:cstheme="minorBidi"/>
          <w:rtl/>
        </w:rPr>
        <w:t>ولأن هذا الأمر يُعتبر أمرًا شخصيًا، ينبغي النظر في كل حالة على حده ويجب اتخاذ قرارات الإفصاح عن المعلومات على أعلى مستوى للوكالة أو الوكالات المعنية.</w:t>
      </w:r>
      <w:r w:rsidR="006015AE">
        <w:rPr>
          <w:rFonts w:asciiTheme="minorBidi" w:hAnsiTheme="minorBidi" w:cstheme="minorBidi"/>
          <w:rtl/>
        </w:rPr>
        <w:t xml:space="preserve"> </w:t>
      </w:r>
    </w:p>
    <w:p w:rsidR="004B0B0A" w:rsidRPr="006015AE" w:rsidRDefault="00B26DEA" w:rsidP="006015AE">
      <w:pPr>
        <w:spacing w:line="276" w:lineRule="auto"/>
        <w:ind w:left="36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b/>
          <w:rtl/>
        </w:rPr>
      </w:pPr>
      <w:r w:rsidRPr="006015AE">
        <w:rPr>
          <w:rFonts w:asciiTheme="minorBidi" w:hAnsiTheme="minorBidi" w:cstheme="minorBidi"/>
          <w:rtl/>
        </w:rPr>
        <w:t xml:space="preserve">في بعض الحالات، تُلزم </w:t>
      </w:r>
      <w:r w:rsidRPr="006015AE">
        <w:rPr>
          <w:rFonts w:asciiTheme="minorBidi" w:hAnsiTheme="minorBidi" w:cstheme="minorBidi"/>
          <w:b/>
          <w:rtl/>
        </w:rPr>
        <w:t>قوانين الإبلاغ الإلزامي</w:t>
      </w:r>
      <w:r w:rsidRPr="006015AE">
        <w:rPr>
          <w:rFonts w:asciiTheme="minorBidi" w:hAnsiTheme="minorBidi" w:cstheme="minorBidi"/>
          <w:rtl/>
        </w:rPr>
        <w:t xml:space="preserve"> القائمة مقدمي الخدمات بالإبلاغ عن الحالات التي تتضمن اعتداء حقيقي أو مشتبه إلى الوكالة المركزية، مما يقيد السرية بين الوكالات وعملائهم.</w:t>
      </w:r>
      <w:r w:rsidR="006015AE">
        <w:rPr>
          <w:rFonts w:asciiTheme="minorBidi" w:hAnsiTheme="minorBidi" w:cstheme="minorBidi"/>
          <w:rtl/>
        </w:rPr>
        <w:t xml:space="preserve"> </w:t>
      </w:r>
      <w:r w:rsidRPr="006015AE">
        <w:rPr>
          <w:rFonts w:asciiTheme="minorBidi" w:hAnsiTheme="minorBidi" w:cstheme="minorBidi"/>
          <w:rtl/>
        </w:rPr>
        <w:t>وفي الحالات التي تكون بها هذه القوانين قائمة وسارية، يجب توضيح ذلك للطفل (و/أو مقدم الرعاية) أثناء عملية الموافقة المستنيرة. وفي بعض الحالات، قد يكون بأنظمة الإبلاغ الإلزامي خلل كبير (بسبب عدم وضوح الإجراءات والإرشادات التوجيهية وعدم القدرة على الاستجابة ونحوه) مما قد يتسبب بمزيد من الضرر على سلامة الأطفال والأسر وخاصة في حالات الطوارئ. لذا يجب على مقدمي الخدمات حينها مراعاة سلامة الطفل ومصالحه الفضلى بجانب الآثار القانونية المحتملة والمترتبة على عدم الإبلاغ لتحديد الخطوات المناسبة التالية.</w:t>
      </w:r>
      <w:r w:rsidR="006015AE">
        <w:rPr>
          <w:rFonts w:asciiTheme="minorBidi" w:hAnsiTheme="minorBidi" w:cstheme="minorBidi"/>
          <w:rtl/>
        </w:rPr>
        <w:t xml:space="preserve"> </w:t>
      </w:r>
      <w:r w:rsidRPr="006015AE">
        <w:rPr>
          <w:rFonts w:asciiTheme="minorBidi" w:hAnsiTheme="minorBidi" w:cstheme="minorBidi"/>
          <w:b/>
          <w:rtl/>
        </w:rPr>
        <w:t>ويجب أن تُتخذ القرارات المتعلقة بالامتثال لقوانين الإبلاغ الإلزامي بأعلى مستوى للوكالة أو الوكالات المعنية لحماية العاملين.</w:t>
      </w:r>
    </w:p>
    <w:p w:rsidR="004B0B0A" w:rsidRPr="006015AE" w:rsidRDefault="00B26DEA" w:rsidP="006015AE">
      <w:pPr>
        <w:pStyle w:val="ListParagraph"/>
        <w:rPr>
          <w:rFonts w:asciiTheme="minorBidi" w:hAnsiTheme="minorBidi" w:cstheme="minorBidi"/>
          <w:b/>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بعد جمع المعلومات، يجب تمريرها فقط إلى الشخص المعني باستلامها، لأغراض محددة بوضوح، مثل المدير المباشر أو الوكالة الشريكة.</w:t>
      </w:r>
      <w:r w:rsidR="006015AE">
        <w:rPr>
          <w:rFonts w:asciiTheme="minorBidi" w:hAnsiTheme="minorBidi" w:cstheme="minorBidi"/>
          <w:rtl/>
        </w:rPr>
        <w:t xml:space="preserve"> </w:t>
      </w:r>
      <w:r w:rsidRPr="006015AE">
        <w:rPr>
          <w:rFonts w:asciiTheme="minorBidi" w:hAnsiTheme="minorBidi" w:cstheme="minorBidi"/>
          <w:rtl/>
        </w:rPr>
        <w:t>ويجب تحديد قنوات مشاركة المعلومات وفهمها بوضوح من قِبل جميع الموظفين.</w:t>
      </w:r>
      <w:r w:rsidR="006015AE">
        <w:rPr>
          <w:rFonts w:asciiTheme="minorBidi" w:hAnsiTheme="minorBidi" w:cstheme="minorBidi"/>
          <w:rtl/>
        </w:rPr>
        <w:t xml:space="preserve"> </w:t>
      </w:r>
      <w:r w:rsidRPr="006015AE">
        <w:rPr>
          <w:rFonts w:asciiTheme="minorBidi" w:hAnsiTheme="minorBidi" w:cstheme="minorBidi"/>
          <w:rtl/>
        </w:rPr>
        <w:t>ولتمرير المعلومات بين مختلف الوكالات يُتطلب أن تمتثل كافة الوكالات المعنية للبروتوكولات القياسية لحماية البيانات.</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يحق للأطفال الاطلاع على المعلومات المتعلقة بهم ومراجعتها.</w:t>
      </w:r>
      <w:r w:rsidR="006015AE">
        <w:rPr>
          <w:rFonts w:asciiTheme="minorBidi" w:hAnsiTheme="minorBidi" w:cstheme="minorBidi"/>
          <w:rtl/>
        </w:rPr>
        <w:t xml:space="preserve"> </w:t>
      </w:r>
      <w:r w:rsidRPr="006015AE">
        <w:rPr>
          <w:rFonts w:asciiTheme="minorBidi" w:hAnsiTheme="minorBidi" w:cstheme="minorBidi"/>
          <w:rtl/>
        </w:rPr>
        <w:t>ولذلك يتعين على الوكالات التي تحتفظ بالمعلومات صياغة بنود تنص على تمكينهم من الاطلاع على المعلومات كيفما وحينما يحتاجون لذلك.</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يتعين على الموظفين الذين يعملون بشكل مباشر مع الأطفال تلقي استبيانات منتظمة بشأن رفاهيتهم.</w:t>
      </w:r>
      <w:r w:rsidR="006015AE">
        <w:rPr>
          <w:rFonts w:asciiTheme="minorBidi" w:hAnsiTheme="minorBidi" w:cstheme="minorBidi"/>
          <w:rtl/>
        </w:rPr>
        <w:t xml:space="preserve"> </w:t>
      </w:r>
      <w:r w:rsidRPr="006015AE">
        <w:rPr>
          <w:rFonts w:asciiTheme="minorBidi" w:hAnsiTheme="minorBidi" w:cstheme="minorBidi"/>
          <w:rtl/>
        </w:rPr>
        <w:t>وأثناء الاستبيانات، يجب مناقشة المعلومات التي يتم الإفصاح عنها للموظفين دون الكشف عن صاحبها.</w:t>
      </w:r>
      <w:r w:rsidR="006015AE">
        <w:rPr>
          <w:rFonts w:asciiTheme="minorBidi" w:hAnsiTheme="minorBidi" w:cstheme="minorBidi"/>
          <w:rtl/>
        </w:rPr>
        <w:t xml:space="preserve"> </w:t>
      </w:r>
      <w:r w:rsidRPr="006015AE">
        <w:rPr>
          <w:rFonts w:asciiTheme="minorBidi" w:hAnsiTheme="minorBidi" w:cstheme="minorBidi"/>
          <w:rtl/>
        </w:rPr>
        <w:t>وإذا كانت هناك حاجة لكشف الاسم، فيجب أن يتم هذا مع الشخص المعين لتلقي المعلومات وبما يتفق مع المصلحة الفضلى للأطفال المعنيين.</w:t>
      </w:r>
      <w:r w:rsidR="006015AE">
        <w:rPr>
          <w:rFonts w:asciiTheme="minorBidi" w:hAnsiTheme="minorBidi" w:cstheme="minorBidi"/>
          <w:rtl/>
        </w:rPr>
        <w:t xml:space="preserve"> </w:t>
      </w:r>
    </w:p>
    <w:p w:rsidR="004B0B0A" w:rsidRPr="006015AE" w:rsidRDefault="00B26DEA" w:rsidP="006015AE">
      <w:pPr>
        <w:pStyle w:val="ListParagraph"/>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 xml:space="preserve">من المهم للمديرين التأكد من اتباع بروتوكولات حماية البيانات وتحديثها عند الحاجة (على سبيل المثال في حالة حدوث تغييرات في السياق).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rPr>
          <w:rFonts w:asciiTheme="minorBidi" w:hAnsiTheme="minorBidi" w:cstheme="minorBidi"/>
          <w:bCs/>
          <w:rtl/>
        </w:rPr>
      </w:pPr>
      <w:r w:rsidRPr="006015AE">
        <w:rPr>
          <w:rFonts w:asciiTheme="minorBidi" w:hAnsiTheme="minorBidi" w:cstheme="minorBidi"/>
          <w:bCs/>
          <w:rtl/>
        </w:rPr>
        <w:t>أمن الملف الورقي</w:t>
      </w: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حفظ كل حالة في ملف خاص بها وتسمية هذا الملف برمز الحالة الشخصي الموجود على الجزء الخارجي من الملف.</w:t>
      </w:r>
      <w:r w:rsidR="006015AE">
        <w:rPr>
          <w:rFonts w:asciiTheme="minorBidi" w:hAnsiTheme="minorBidi" w:cstheme="minorBidi"/>
          <w:rtl/>
        </w:rPr>
        <w:t xml:space="preserve"> </w:t>
      </w:r>
      <w:r w:rsidRPr="006015AE">
        <w:rPr>
          <w:rFonts w:asciiTheme="minorBidi" w:hAnsiTheme="minorBidi" w:cstheme="minorBidi"/>
          <w:b/>
          <w:i/>
          <w:rtl/>
        </w:rPr>
        <w:t>من الضروري</w:t>
      </w:r>
      <w:r w:rsidRPr="006015AE">
        <w:rPr>
          <w:rFonts w:asciiTheme="minorBidi" w:hAnsiTheme="minorBidi" w:cstheme="minorBidi"/>
          <w:rtl/>
        </w:rPr>
        <w:t xml:space="preserve"> ألا يظهر اسم الطفل على الجزء الخارجي للملف.</w:t>
      </w:r>
    </w:p>
    <w:p w:rsidR="004B0B0A" w:rsidRPr="006015AE" w:rsidRDefault="00B26DEA" w:rsidP="006015AE">
      <w:pPr>
        <w:spacing w:line="276" w:lineRule="auto"/>
        <w:ind w:left="36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حفظ الملفات الورقية في مكان آمن ولا يُسمح بالوصول إليها إلا من جانب الشخص المسؤول عن المعلومات.</w:t>
      </w:r>
      <w:r w:rsidR="006015AE">
        <w:rPr>
          <w:rFonts w:asciiTheme="minorBidi" w:hAnsiTheme="minorBidi" w:cstheme="minorBidi"/>
          <w:rtl/>
        </w:rPr>
        <w:t xml:space="preserve"> </w:t>
      </w:r>
      <w:r w:rsidRPr="006015AE">
        <w:rPr>
          <w:rFonts w:asciiTheme="minorBidi" w:hAnsiTheme="minorBidi" w:cstheme="minorBidi"/>
          <w:rtl/>
        </w:rPr>
        <w:t>وهذا يعني عادة أن يتم تخزينها في خزانة ملفات قابلة للقفل ويتم الاحتفاظ بالمفاتيح مع الشخص المسؤول عن المعلومات.</w:t>
      </w:r>
      <w:r w:rsidR="006015AE">
        <w:rPr>
          <w:rFonts w:asciiTheme="minorBidi" w:hAnsiTheme="minorBidi" w:cstheme="minorBidi"/>
          <w:rtl/>
        </w:rPr>
        <w:t xml:space="preserve"> </w:t>
      </w:r>
      <w:r w:rsidRPr="006015AE">
        <w:rPr>
          <w:rFonts w:asciiTheme="minorBidi" w:hAnsiTheme="minorBidi" w:cstheme="minorBidi"/>
          <w:rtl/>
        </w:rPr>
        <w:t>ولا يجب إعطاء أي شخص آخر إمكانية الاطلاع على الملف دون إذن.</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lastRenderedPageBreak/>
        <w:t>يجب نقل الملفات الورقية باليد بين الأشخاص المسؤولين عن المعلومات.</w:t>
      </w:r>
      <w:r w:rsidR="006015AE">
        <w:rPr>
          <w:rFonts w:asciiTheme="minorBidi" w:hAnsiTheme="minorBidi" w:cstheme="minorBidi"/>
          <w:rtl/>
        </w:rPr>
        <w:t xml:space="preserve"> </w:t>
      </w:r>
      <w:r w:rsidRPr="006015AE">
        <w:rPr>
          <w:rFonts w:asciiTheme="minorBidi" w:hAnsiTheme="minorBidi" w:cstheme="minorBidi"/>
          <w:rtl/>
        </w:rPr>
        <w:t>وأثناء النقل، يجب تخزين الملفات في صندوق مغلق أو ظرف مختوم. وفي ظروف استثنائية قد يحتاج مدير حماية الطفل إلى تحديد شخص موظف غير عامل في مجال حماية الطفل لتعيينه لهذه المهمة. وفي هذه الحالة يجب إطلاع الموظف على بروتوكولات حماية البيانات والتوقيع على ذلك.</w:t>
      </w:r>
      <w:r w:rsidR="006015AE">
        <w:rPr>
          <w:rFonts w:asciiTheme="minorBidi" w:hAnsiTheme="minorBidi" w:cstheme="minorBidi"/>
          <w:rtl/>
        </w:rPr>
        <w:t xml:space="preserve"> </w:t>
      </w:r>
    </w:p>
    <w:p w:rsidR="004B0B0A" w:rsidRPr="006015AE" w:rsidRDefault="00B26DEA" w:rsidP="006015AE">
      <w:pPr>
        <w:pStyle w:val="ListParagraph"/>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تدقيق الوثائق الأصلية (مثل شهادات الميلاد) ثم إعادتها للطفل. ولا يجب تخزين الوثائق الأصلية في ملفات ورقية بحيث يمكن تدمير الملفات الورقية دون أي تردد في حالة حدوث إخلاء / نقل طارئ.</w:t>
      </w:r>
      <w:r w:rsidR="006015AE">
        <w:rPr>
          <w:rFonts w:asciiTheme="minorBidi" w:hAnsiTheme="minorBidi" w:cstheme="minorBidi"/>
          <w:rtl/>
        </w:rPr>
        <w:t xml:space="preserve"> </w:t>
      </w:r>
    </w:p>
    <w:p w:rsidR="004B0B0A" w:rsidRPr="006015AE" w:rsidRDefault="00B26DEA" w:rsidP="006015AE">
      <w:pPr>
        <w:pStyle w:val="ListParagraph"/>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وضع علامة على الملفات الورقية و/أو خزائن حفظ الملفات باستخدام نظام ترمزي بالألوان وفقًا لحساسية البيانات التي تحتوي عليها وبالتالي ترتيب الأولوية التي يتم من خلالها تدميرها/إزالتها في حالة حدوث إخلاء/نقل طارئ.</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إبقاء الغرف التي تحتوي على المعلومات الورقية أو الإلكترونية مقفلة بشكل آمن عندما يغادر الشخص المسؤول عن المعلومات الغرفة.</w:t>
      </w:r>
    </w:p>
    <w:p w:rsidR="004B0B0A" w:rsidRPr="006015AE" w:rsidRDefault="00B26DEA" w:rsidP="006015AE">
      <w:pPr>
        <w:spacing w:line="276" w:lineRule="auto"/>
        <w:rPr>
          <w:rFonts w:asciiTheme="minorBidi" w:hAnsiTheme="minorBidi" w:cstheme="minorBidi"/>
          <w:b/>
          <w:rtl/>
        </w:rPr>
      </w:pPr>
    </w:p>
    <w:p w:rsidR="004B0B0A" w:rsidRPr="006015AE" w:rsidRDefault="00C86CEE" w:rsidP="006015AE">
      <w:pPr>
        <w:spacing w:line="276" w:lineRule="auto"/>
        <w:rPr>
          <w:rFonts w:asciiTheme="minorBidi" w:hAnsiTheme="minorBidi" w:cstheme="minorBidi"/>
          <w:bCs/>
          <w:rtl/>
        </w:rPr>
      </w:pPr>
      <w:r w:rsidRPr="006015AE">
        <w:rPr>
          <w:rFonts w:asciiTheme="minorBidi" w:hAnsiTheme="minorBidi" w:cstheme="minorBidi"/>
          <w:bCs/>
          <w:rtl/>
        </w:rPr>
        <w:t>أمن البيانات الإلكترونية</w:t>
      </w: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تزويد أجهزة الكمبيوتر بأحدث برامج مكافحة الفيروسات وذلك لتجنب تلف المعلومات أو فقدانها.</w:t>
      </w:r>
    </w:p>
    <w:p w:rsidR="004B0B0A" w:rsidRPr="006015AE" w:rsidRDefault="00B26DEA" w:rsidP="006015AE">
      <w:pPr>
        <w:spacing w:line="276" w:lineRule="auto"/>
        <w:ind w:left="72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أن تكون جميع المعلومات الإلكترونية المتعلقة بالأطفال محمية بكلمة مرور مع مراعاة تغيير كلمة المرور بشكل منتظم.</w:t>
      </w:r>
      <w:r w:rsidR="006015AE">
        <w:rPr>
          <w:rFonts w:asciiTheme="minorBidi" w:hAnsiTheme="minorBidi" w:cstheme="minorBidi"/>
          <w:rtl/>
        </w:rPr>
        <w:t xml:space="preserve"> </w:t>
      </w:r>
      <w:r w:rsidRPr="006015AE">
        <w:rPr>
          <w:rFonts w:asciiTheme="minorBidi" w:hAnsiTheme="minorBidi" w:cstheme="minorBidi"/>
          <w:rtl/>
        </w:rPr>
        <w:t>ويجب نقل المعلومات عن طريق ملفات مشفرة أو محمية بكلمة مرور سواء كان ذلك عن طريق الإنترنت أو عصا الذاكرة. ويجب تمرير عصا الذاكرة (وحدات USB) باليد بين الأشخاص المسؤولين عن المعلومات وحمايتها بكلمة مرور وحذف الملف على الفور بعد نقله.</w:t>
      </w:r>
      <w:r w:rsidR="006015AE">
        <w:rPr>
          <w:rFonts w:asciiTheme="minorBidi" w:hAnsiTheme="minorBidi" w:cstheme="minorBidi"/>
          <w:rtl/>
        </w:rPr>
        <w:t xml:space="preserve"> </w:t>
      </w:r>
      <w:r w:rsidRPr="006015AE">
        <w:rPr>
          <w:rFonts w:asciiTheme="minorBidi" w:hAnsiTheme="minorBidi" w:cstheme="minorBidi"/>
          <w:rtl/>
        </w:rPr>
        <w:t>تأكد من أن الملف قد تم حذفه نهائيًا من سلة المهملات.</w:t>
      </w:r>
      <w:r w:rsidR="006015AE">
        <w:rPr>
          <w:rFonts w:asciiTheme="minorBidi" w:hAnsiTheme="minorBidi" w:cstheme="minorBidi"/>
          <w:rtl/>
        </w:rPr>
        <w:t xml:space="preserve"> </w:t>
      </w:r>
    </w:p>
    <w:p w:rsidR="004B0B0A" w:rsidRPr="006015AE" w:rsidRDefault="00B26DEA" w:rsidP="006015AE">
      <w:pPr>
        <w:spacing w:line="276" w:lineRule="auto"/>
        <w:ind w:left="36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عمل نسختين احتياطيتين على الأقل على أساس أسبوعي؛ يتم تخزين النسخة الأولى في موقع قاعدة البيانات ويتم إرسال النسخة الثانية في موقع مركزي محدد مسبقًا.</w:t>
      </w:r>
      <w:r w:rsidR="006015AE">
        <w:rPr>
          <w:rFonts w:asciiTheme="minorBidi" w:hAnsiTheme="minorBidi" w:cstheme="minorBidi"/>
          <w:rtl/>
        </w:rPr>
        <w:t xml:space="preserve"> </w:t>
      </w:r>
      <w:r w:rsidRPr="006015AE">
        <w:rPr>
          <w:rFonts w:asciiTheme="minorBidi" w:hAnsiTheme="minorBidi" w:cstheme="minorBidi"/>
          <w:rtl/>
        </w:rPr>
        <w:t>والسبب في الاحتفاظ بنسخة احتياطية خارج الموقع هو إمكانية استعادتها إذا تعرضت قاعدة البيانات الرئيسية للتلف (بسبب الفيضانات على سبيل المثال). كما يعني أيضًا أنه يمكن تدمير قاعدة البيانات الرئيسية في الإخلاء/النقل الطارئ إذ بدون عمل هذا النسخ الاحتياطي سيتم فقدان جميع البيانات الإلكترونية. وعادة ما يكون النسخ الاحتيا</w:t>
      </w:r>
      <w:bookmarkStart w:id="4" w:name="_GoBack"/>
      <w:bookmarkEnd w:id="4"/>
      <w:r w:rsidRPr="006015AE">
        <w:rPr>
          <w:rFonts w:asciiTheme="minorBidi" w:hAnsiTheme="minorBidi" w:cstheme="minorBidi"/>
          <w:rtl/>
        </w:rPr>
        <w:t>طي في الموقع هو قرص صلب خارجي يتم حفظه في خزانة لحفظ الملفات ويتم عمل النسخ الاحتياطي خارج الموقع من خلال إرسال المعالج المساند لقاعدة البيانات عبر البريد الإلكتروني إلى المتلقي المعين على شكل ملف مشفر ومحمي بكلمة المرور.</w:t>
      </w:r>
      <w:r w:rsidR="006015AE">
        <w:rPr>
          <w:rFonts w:asciiTheme="minorBidi" w:hAnsiTheme="minorBidi" w:cstheme="minorBidi"/>
          <w:rtl/>
        </w:rPr>
        <w:t xml:space="preserve"> </w:t>
      </w:r>
    </w:p>
    <w:p w:rsidR="004B0B0A" w:rsidRPr="006015AE" w:rsidRDefault="00B26DEA" w:rsidP="006015AE">
      <w:pPr>
        <w:spacing w:line="276" w:lineRule="auto"/>
        <w:ind w:left="360"/>
        <w:rPr>
          <w:rFonts w:asciiTheme="minorBidi" w:hAnsiTheme="minorBidi" w:cstheme="minorBidi"/>
          <w:rtl/>
        </w:rPr>
      </w:pPr>
    </w:p>
    <w:p w:rsidR="004B0B0A" w:rsidRPr="006015AE" w:rsidRDefault="00C86CEE" w:rsidP="006015AE">
      <w:pPr>
        <w:spacing w:line="276" w:lineRule="auto"/>
        <w:rPr>
          <w:rFonts w:asciiTheme="minorBidi" w:hAnsiTheme="minorBidi" w:cstheme="minorBidi"/>
          <w:bCs/>
          <w:rtl/>
        </w:rPr>
      </w:pPr>
      <w:r w:rsidRPr="006015AE">
        <w:rPr>
          <w:rFonts w:asciiTheme="minorBidi" w:hAnsiTheme="minorBidi" w:cstheme="minorBidi"/>
          <w:bCs/>
          <w:rtl/>
        </w:rPr>
        <w:t>خطة الإخلاء/النقل الطارئ</w:t>
      </w: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في حالة حدوث إخلاء/نقل، يتعين على الإدارة التأكد من نقل جهاز الكمبيوتر (أجهزة الكمبيوتر) التي توجد به قاعدة البيانات وأنظمتها الاحتياطية وملفاتها الورقية إلى موقع آمن.</w:t>
      </w:r>
      <w:r w:rsidR="006015AE">
        <w:rPr>
          <w:rFonts w:asciiTheme="minorBidi" w:hAnsiTheme="minorBidi" w:cstheme="minorBidi"/>
          <w:rtl/>
        </w:rPr>
        <w:t xml:space="preserve"> </w:t>
      </w:r>
      <w:r w:rsidRPr="006015AE">
        <w:rPr>
          <w:rFonts w:asciiTheme="minorBidi" w:hAnsiTheme="minorBidi" w:cstheme="minorBidi"/>
          <w:rtl/>
        </w:rPr>
        <w:t>وعندما يكون نقل أصول قاعدة البيانات والملفات الورقية غير ممكن، يتعين على الإدارة التأكد من تدمير الأصول وحرق الأوراق. عندئذ تصبح المعلومات المحفوظة في الأنظمة الاحتياطية المصدر الوحيد للمعلومات الخاصة بالأطفال.</w:t>
      </w:r>
      <w:r w:rsidR="006015AE">
        <w:rPr>
          <w:rFonts w:asciiTheme="minorBidi" w:hAnsiTheme="minorBidi" w:cstheme="minorBidi"/>
          <w:rtl/>
        </w:rPr>
        <w:t xml:space="preserve"> </w:t>
      </w:r>
      <w:r w:rsidRPr="006015AE">
        <w:rPr>
          <w:rFonts w:asciiTheme="minorBidi" w:hAnsiTheme="minorBidi" w:cstheme="minorBidi"/>
          <w:rtl/>
        </w:rPr>
        <w:t>. وتجدر الإشارة إلى أنه في بعض الحالات، قد لا يكون من الضروري تدمير الملفات وبالتالي من الضروري للغاية التأكد من تأمينها وحمايتها بشكل صحيح خلال فترة الإخلاء/نقل.</w:t>
      </w:r>
      <w:r w:rsidR="006015AE">
        <w:rPr>
          <w:rFonts w:asciiTheme="minorBidi" w:hAnsiTheme="minorBidi" w:cstheme="minorBidi"/>
          <w:rtl/>
        </w:rPr>
        <w:t xml:space="preserve"> </w:t>
      </w:r>
      <w:r w:rsidRPr="006015AE">
        <w:rPr>
          <w:rFonts w:asciiTheme="minorBidi" w:hAnsiTheme="minorBidi" w:cstheme="minorBidi"/>
          <w:rtl/>
        </w:rPr>
        <w:t xml:space="preserve">ويجب اتخاذ هذا القرار من قِبل الإدارة. </w:t>
      </w:r>
    </w:p>
    <w:p w:rsidR="004B0B0A" w:rsidRPr="006015AE" w:rsidRDefault="00B26DEA" w:rsidP="006015AE">
      <w:pPr>
        <w:spacing w:line="276" w:lineRule="auto"/>
        <w:ind w:left="72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lastRenderedPageBreak/>
        <w:t xml:space="preserve">يجب وضع خطة للإخلاء/النقل تحدد </w:t>
      </w:r>
      <w:r w:rsidRPr="006015AE">
        <w:rPr>
          <w:rFonts w:ascii="Arial" w:hAnsi="Arial" w:cs="Arial" w:hint="cs"/>
          <w:rtl/>
        </w:rPr>
        <w:t>مخطط</w:t>
      </w:r>
      <w:r w:rsidRPr="006015AE">
        <w:rPr>
          <w:rFonts w:asciiTheme="minorBidi" w:hAnsiTheme="minorBidi" w:cstheme="minorBidi"/>
          <w:rtl/>
        </w:rPr>
        <w:t xml:space="preserve"> </w:t>
      </w:r>
      <w:r w:rsidRPr="006015AE">
        <w:rPr>
          <w:rFonts w:ascii="Arial" w:hAnsi="Arial" w:cs="Arial" w:hint="cs"/>
          <w:rtl/>
        </w:rPr>
        <w:t>التفويض‘</w:t>
      </w:r>
      <w:r w:rsidRPr="006015AE">
        <w:rPr>
          <w:rFonts w:asciiTheme="minorBidi" w:hAnsiTheme="minorBidi" w:cstheme="minorBidi"/>
          <w:rtl/>
        </w:rPr>
        <w:t xml:space="preserve"> </w:t>
      </w:r>
      <w:r w:rsidRPr="006015AE">
        <w:rPr>
          <w:rFonts w:ascii="Arial" w:hAnsi="Arial" w:cs="Arial" w:hint="cs"/>
          <w:rtl/>
        </w:rPr>
        <w:t>الذي</w:t>
      </w:r>
      <w:r w:rsidRPr="006015AE">
        <w:rPr>
          <w:rFonts w:asciiTheme="minorBidi" w:hAnsiTheme="minorBidi" w:cstheme="minorBidi"/>
          <w:rtl/>
        </w:rPr>
        <w:t xml:space="preserve"> </w:t>
      </w:r>
      <w:r w:rsidRPr="006015AE">
        <w:rPr>
          <w:rFonts w:ascii="Arial" w:hAnsi="Arial" w:cs="Arial" w:hint="cs"/>
          <w:rtl/>
        </w:rPr>
        <w:t>يحدد</w:t>
      </w:r>
      <w:r w:rsidRPr="006015AE">
        <w:rPr>
          <w:rFonts w:asciiTheme="minorBidi" w:hAnsiTheme="minorBidi" w:cstheme="minorBidi"/>
          <w:rtl/>
        </w:rPr>
        <w:t xml:space="preserve"> </w:t>
      </w:r>
      <w:r w:rsidRPr="006015AE">
        <w:rPr>
          <w:rFonts w:ascii="Arial" w:hAnsi="Arial" w:cs="Arial" w:hint="cs"/>
          <w:rtl/>
        </w:rPr>
        <w:t>الشخص</w:t>
      </w:r>
      <w:r w:rsidRPr="006015AE">
        <w:rPr>
          <w:rFonts w:asciiTheme="minorBidi" w:hAnsiTheme="minorBidi" w:cstheme="minorBidi"/>
          <w:rtl/>
        </w:rPr>
        <w:t xml:space="preserve"> </w:t>
      </w:r>
      <w:r w:rsidRPr="006015AE">
        <w:rPr>
          <w:rFonts w:ascii="Arial" w:hAnsi="Arial" w:cs="Arial" w:hint="cs"/>
          <w:rtl/>
        </w:rPr>
        <w:t>الذي</w:t>
      </w:r>
      <w:r w:rsidRPr="006015AE">
        <w:rPr>
          <w:rFonts w:asciiTheme="minorBidi" w:hAnsiTheme="minorBidi" w:cstheme="minorBidi"/>
          <w:rtl/>
        </w:rPr>
        <w:t xml:space="preserve"> </w:t>
      </w:r>
      <w:r w:rsidRPr="006015AE">
        <w:rPr>
          <w:rFonts w:ascii="Arial" w:hAnsi="Arial" w:cs="Arial" w:hint="cs"/>
          <w:rtl/>
        </w:rPr>
        <w:t>يضطلع</w:t>
      </w:r>
      <w:r w:rsidRPr="006015AE">
        <w:rPr>
          <w:rFonts w:asciiTheme="minorBidi" w:hAnsiTheme="minorBidi" w:cstheme="minorBidi"/>
          <w:rtl/>
        </w:rPr>
        <w:t xml:space="preserve"> </w:t>
      </w:r>
      <w:r w:rsidRPr="006015AE">
        <w:rPr>
          <w:rFonts w:ascii="Arial" w:hAnsi="Arial" w:cs="Arial" w:hint="cs"/>
          <w:rtl/>
        </w:rPr>
        <w:t>بم</w:t>
      </w:r>
      <w:r w:rsidRPr="006015AE">
        <w:rPr>
          <w:rFonts w:asciiTheme="minorBidi" w:hAnsiTheme="minorBidi" w:cstheme="minorBidi"/>
          <w:rtl/>
        </w:rPr>
        <w:t>سؤولية اتخاذ القرارات بشأن إزالة البيانات أو تدميرها (سواء للبيانات الورقية أو الإلكترونية). وينبغي إدراج هذه الخطة في خطة الإخلاء/النقل القياسية الخاصة بكامل الوكالة من قِبل مديري الأمن/كبار الموظفين.</w:t>
      </w:r>
    </w:p>
    <w:p w:rsidR="004B0B0A" w:rsidRPr="006015AE" w:rsidRDefault="00B26DEA" w:rsidP="006015AE">
      <w:pPr>
        <w:pStyle w:val="ListParagraph"/>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ينبغي على المدير القطري ومدير الأمن ومدير الخدمات اللوجيستية ومدير تقنية المعلومات وفريق الإدارة العليا وموظفي حماية الطفل معرفة مسؤولياتهم الفردية الواردة بالتفصيل في خطة الإخلاء/النقل وأن يكونوا على دراية بالطبيعة الحساس للبيانات التي يجري جمعها.</w:t>
      </w:r>
      <w:r w:rsidR="006015AE">
        <w:rPr>
          <w:rFonts w:asciiTheme="minorBidi" w:hAnsiTheme="minorBidi" w:cstheme="minorBidi"/>
          <w:rtl/>
        </w:rPr>
        <w:t xml:space="preserve"> </w:t>
      </w:r>
      <w:r w:rsidRPr="006015AE">
        <w:rPr>
          <w:rFonts w:asciiTheme="minorBidi" w:hAnsiTheme="minorBidi" w:cstheme="minorBidi"/>
          <w:rtl/>
        </w:rPr>
        <w:t>والإحاطة بشأن خطة الإخلاء يجب أن تكون جزءًا من قائمة الفحص القياسية للموظفين المعنيين.</w:t>
      </w:r>
    </w:p>
    <w:p w:rsidR="004B0B0A" w:rsidRPr="006015AE" w:rsidRDefault="00B26DEA" w:rsidP="006015AE">
      <w:pPr>
        <w:pStyle w:val="ListParagraph"/>
        <w:spacing w:line="276" w:lineRule="auto"/>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يجب إجراء تدريبات على الإخلاء/النقل للتأكد من أن كل فرد يعرف مسؤولياته وقادرًا على التعامل بسرعة في حالات الإخلاء/النقل الطارئ.</w:t>
      </w:r>
      <w:r w:rsidR="006015AE">
        <w:rPr>
          <w:rFonts w:asciiTheme="minorBidi" w:hAnsiTheme="minorBidi" w:cstheme="minorBidi"/>
          <w:rtl/>
        </w:rPr>
        <w:t xml:space="preserve"> </w:t>
      </w:r>
      <w:r w:rsidRPr="006015AE">
        <w:rPr>
          <w:rFonts w:asciiTheme="minorBidi" w:hAnsiTheme="minorBidi" w:cstheme="minorBidi"/>
          <w:rtl/>
        </w:rPr>
        <w:t>وفي حالة تدهور الوضع الأمني المتعلق بالمعلومات، ينبغي مراجعة خطط الإخلاء/النقل - وإذا لزم الأمر إعادة تقييمها - من قِبل الإدارة العليا ومسؤولي الأمن.</w:t>
      </w:r>
      <w:r w:rsidR="006015AE">
        <w:rPr>
          <w:rFonts w:asciiTheme="minorBidi" w:hAnsiTheme="minorBidi" w:cstheme="minorBidi"/>
          <w:rtl/>
        </w:rPr>
        <w:t xml:space="preserve"> </w:t>
      </w:r>
    </w:p>
    <w:p w:rsidR="004B0B0A" w:rsidRPr="006015AE" w:rsidRDefault="00B26DEA" w:rsidP="006015AE">
      <w:pPr>
        <w:spacing w:line="276" w:lineRule="auto"/>
        <w:rPr>
          <w:rFonts w:asciiTheme="minorBidi" w:hAnsiTheme="minorBidi" w:cstheme="minorBidi"/>
          <w:rtl/>
        </w:rPr>
      </w:pPr>
    </w:p>
    <w:p w:rsidR="004B0B0A" w:rsidRPr="006015AE" w:rsidRDefault="00C86CEE" w:rsidP="006015AE">
      <w:pPr>
        <w:spacing w:line="276" w:lineRule="auto"/>
        <w:rPr>
          <w:rFonts w:asciiTheme="minorBidi" w:hAnsiTheme="minorBidi" w:cstheme="minorBidi"/>
          <w:bCs/>
          <w:rtl/>
        </w:rPr>
      </w:pPr>
      <w:r w:rsidRPr="006015AE">
        <w:rPr>
          <w:rFonts w:asciiTheme="minorBidi" w:hAnsiTheme="minorBidi" w:cstheme="minorBidi"/>
          <w:bCs/>
          <w:rtl/>
        </w:rPr>
        <w:t>الوكالات القيادية</w:t>
      </w: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تتحمل الوكالات القيادية في الشبكة المشتركة بين الوكالات مسؤولية الإشراف على التأكد من أن جميع الوكالات الأخرى لديها البروتوكولات المناسبة لحماية البيانات، بما في ذلك خطط الإخلاء/النقل.</w:t>
      </w:r>
    </w:p>
    <w:p w:rsidR="004B0B0A" w:rsidRPr="006015AE" w:rsidRDefault="00B26DEA" w:rsidP="006015AE">
      <w:pPr>
        <w:spacing w:line="276" w:lineRule="auto"/>
        <w:ind w:left="720"/>
        <w:rPr>
          <w:rFonts w:asciiTheme="minorBidi" w:hAnsiTheme="minorBidi" w:cstheme="minorBidi"/>
          <w:rtl/>
        </w:rPr>
      </w:pPr>
    </w:p>
    <w:p w:rsidR="004B0B0A"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في حالة الإخلاء/النقل الطارئ، يتعين على الوكالات القيادية التنسيق مع الوكالات الأخرى في الشبكة للتأكد من أن جميع الوكالات قادرة على عملية الإخلاء دون المساس بأمن البيانات وسريتها.</w:t>
      </w:r>
    </w:p>
    <w:p w:rsidR="004B0B0A" w:rsidRPr="006015AE" w:rsidRDefault="00B26DEA" w:rsidP="006015AE">
      <w:pPr>
        <w:spacing w:line="276" w:lineRule="auto"/>
        <w:ind w:left="720"/>
        <w:rPr>
          <w:rFonts w:asciiTheme="minorBidi" w:hAnsiTheme="minorBidi" w:cstheme="minorBidi"/>
          <w:rtl/>
        </w:rPr>
      </w:pPr>
    </w:p>
    <w:p w:rsidR="0062365C" w:rsidRPr="006015AE" w:rsidRDefault="00C86CEE" w:rsidP="006015AE">
      <w:pPr>
        <w:numPr>
          <w:ilvl w:val="0"/>
          <w:numId w:val="2"/>
        </w:numPr>
        <w:spacing w:line="276" w:lineRule="auto"/>
        <w:jc w:val="both"/>
        <w:rPr>
          <w:rFonts w:asciiTheme="minorBidi" w:hAnsiTheme="minorBidi" w:cstheme="minorBidi"/>
          <w:rtl/>
        </w:rPr>
      </w:pPr>
      <w:r w:rsidRPr="006015AE">
        <w:rPr>
          <w:rFonts w:asciiTheme="minorBidi" w:hAnsiTheme="minorBidi" w:cstheme="minorBidi"/>
          <w:rtl/>
        </w:rPr>
        <w:t xml:space="preserve">ينبغي على الوكالات القيادية الاتصال باللجنة التوجيهية الخاصة بنظام إدارة معلومات حماية الطفل المشترك بين الوكالات و/أو منسق المشروع في أسرع وقت ممكن لتنبيههم بشأن الإخلاء/النقل وطلب الدعم عند الضرورة. </w:t>
      </w:r>
      <w:bookmarkEnd w:id="2"/>
      <w:bookmarkEnd w:id="3"/>
    </w:p>
    <w:sectPr w:rsidR="0062365C" w:rsidRPr="006015AE" w:rsidSect="00D929C4">
      <w:headerReference w:type="default"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145" w:rsidRDefault="00C86CEE">
      <w:r>
        <w:rPr>
          <w:rtl/>
        </w:rPr>
        <w:separator/>
      </w:r>
    </w:p>
  </w:endnote>
  <w:endnote w:type="continuationSeparator" w:id="0">
    <w:p w:rsidR="00D60145" w:rsidRDefault="00C86CEE">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F" w:rsidRDefault="00C86CEE" w:rsidP="00391B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E7B6F" w:rsidRDefault="00B26D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39" w:rsidRPr="006015AE" w:rsidRDefault="00C86CEE" w:rsidP="008A5D39">
    <w:pPr>
      <w:pStyle w:val="Footer"/>
      <w:jc w:val="right"/>
      <w:rPr>
        <w:rFonts w:asciiTheme="minorBidi" w:hAnsiTheme="minorBidi" w:cstheme="minorBidi"/>
        <w:rtl/>
      </w:rPr>
    </w:pPr>
    <w:r w:rsidRPr="006015AE">
      <w:rPr>
        <w:rStyle w:val="PageNumber"/>
        <w:rFonts w:asciiTheme="minorBidi" w:hAnsiTheme="minorBidi" w:cstheme="minorBidi"/>
        <w:rtl/>
      </w:rPr>
      <w:fldChar w:fldCharType="begin"/>
    </w:r>
    <w:r w:rsidRPr="006015AE">
      <w:rPr>
        <w:rStyle w:val="PageNumber"/>
        <w:rFonts w:asciiTheme="minorBidi" w:hAnsiTheme="minorBidi" w:cstheme="minorBidi"/>
        <w:rtl/>
      </w:rPr>
      <w:instrText xml:space="preserve"> PAGE </w:instrText>
    </w:r>
    <w:r w:rsidRPr="006015AE">
      <w:rPr>
        <w:rStyle w:val="PageNumber"/>
        <w:rFonts w:asciiTheme="minorBidi" w:hAnsiTheme="minorBidi" w:cstheme="minorBidi"/>
        <w:rtl/>
      </w:rPr>
      <w:fldChar w:fldCharType="separate"/>
    </w:r>
    <w:r w:rsidR="00B26DEA">
      <w:rPr>
        <w:rStyle w:val="PageNumber"/>
        <w:rFonts w:asciiTheme="minorBidi" w:hAnsiTheme="minorBidi" w:cstheme="minorBidi"/>
        <w:noProof/>
        <w:rtl/>
      </w:rPr>
      <w:t>4</w:t>
    </w:r>
    <w:r w:rsidRPr="006015AE">
      <w:rPr>
        <w:rStyle w:val="PageNumber"/>
        <w:rFonts w:asciiTheme="minorBidi" w:hAnsiTheme="minorBidi" w:cstheme="minorBidi"/>
        <w:rtl/>
      </w:rPr>
      <w:fldChar w:fldCharType="end"/>
    </w:r>
  </w:p>
  <w:p w:rsidR="00DE7B6F" w:rsidRPr="006015AE" w:rsidRDefault="00B26DEA" w:rsidP="008A5D39">
    <w:pPr>
      <w:pStyle w:val="Footer"/>
      <w:rPr>
        <w:rFonts w:asciiTheme="minorBidi" w:hAnsiTheme="minorBidi" w:cstheme="minorBidi"/>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145" w:rsidRDefault="00C86CEE">
      <w:r>
        <w:rPr>
          <w:rtl/>
        </w:rPr>
        <w:separator/>
      </w:r>
    </w:p>
  </w:footnote>
  <w:footnote w:type="continuationSeparator" w:id="0">
    <w:p w:rsidR="00D60145" w:rsidRDefault="00C86CEE">
      <w:r>
        <w:rPr>
          <w:rtl/>
        </w:rPr>
        <w:continuationSeparator/>
      </w:r>
    </w:p>
  </w:footnote>
  <w:footnote w:id="1">
    <w:p w:rsidR="004B0B0A" w:rsidRPr="006015AE" w:rsidRDefault="00C86CEE" w:rsidP="00093C84">
      <w:pPr>
        <w:pStyle w:val="FootnoteText"/>
        <w:rPr>
          <w:rFonts w:asciiTheme="minorBidi" w:hAnsiTheme="minorBidi" w:cstheme="minorBidi"/>
        </w:rPr>
      </w:pPr>
      <w:r w:rsidRPr="006015AE">
        <w:rPr>
          <w:rStyle w:val="FootnoteReference"/>
          <w:rFonts w:asciiTheme="minorBidi" w:hAnsiTheme="minorBidi" w:cstheme="minorBidi"/>
        </w:rPr>
        <w:footnoteRef/>
      </w:r>
      <w:r w:rsidRPr="006015AE">
        <w:rPr>
          <w:rFonts w:asciiTheme="minorBidi" w:hAnsiTheme="minorBidi" w:cstheme="minorBidi"/>
          <w:rtl/>
        </w:rPr>
        <w:t xml:space="preserve"> </w:t>
      </w:r>
      <w:r w:rsidR="00093C84" w:rsidRPr="00093C84">
        <w:rPr>
          <w:rFonts w:asciiTheme="minorBidi" w:hAnsiTheme="minorBidi" w:cs="Arial"/>
          <w:rtl/>
        </w:rPr>
        <w:t xml:space="preserve">المبادئ التوجيهية المشتركة بين الوكالات لإدارة الحالات وحماية الطفل - دور إدارة الحالات في حماية الأطفال: دليل لمديري السياسات والبرامج وأخصائيي الحالات (2014) الفريق العامل المعني بإدارة الحالة، </w:t>
      </w:r>
      <w:r w:rsidR="00093C84">
        <w:rPr>
          <w:rFonts w:asciiTheme="minorBidi" w:hAnsiTheme="minorBidi" w:cs="Arial" w:hint="cs"/>
          <w:rtl/>
        </w:rPr>
        <w:t>الملحق 12</w:t>
      </w:r>
      <w:r w:rsidRPr="006015AE">
        <w:rPr>
          <w:rFonts w:asciiTheme="minorBidi" w:hAnsiTheme="minorBidi" w:cstheme="minorBidi"/>
          <w:rtl/>
        </w:rPr>
        <w:t xml:space="preserve">. </w:t>
      </w:r>
    </w:p>
  </w:footnote>
  <w:footnote w:id="2">
    <w:p w:rsidR="004B0B0A" w:rsidRPr="006015AE" w:rsidRDefault="00C86CEE" w:rsidP="004B0B0A">
      <w:pPr>
        <w:pStyle w:val="FootnoteText"/>
        <w:rPr>
          <w:rFonts w:asciiTheme="minorBidi" w:hAnsiTheme="minorBidi" w:cstheme="minorBidi"/>
        </w:rPr>
      </w:pPr>
      <w:r w:rsidRPr="006015AE">
        <w:rPr>
          <w:rStyle w:val="FootnoteReference"/>
          <w:rFonts w:asciiTheme="minorBidi" w:hAnsiTheme="minorBidi" w:cstheme="minorBidi"/>
        </w:rPr>
        <w:footnoteRef/>
      </w:r>
      <w:r w:rsidRPr="006015AE">
        <w:rPr>
          <w:rFonts w:asciiTheme="minorBidi" w:hAnsiTheme="minorBidi" w:cstheme="minorBidi"/>
          <w:rtl/>
        </w:rPr>
        <w:t xml:space="preserve"> ترد هذه المبادئ في اتفاقية الأمم المتحدة بشأن حقوق الطفل وميثاق منظمة الوحدة الأفريقية لحقوق ورفاهية الطفل.</w:t>
      </w:r>
      <w:r w:rsidR="006015AE" w:rsidRPr="006015AE">
        <w:rPr>
          <w:rFonts w:asciiTheme="minorBidi" w:hAnsiTheme="minorBidi" w:cstheme="minorBidi"/>
          <w:rtl/>
        </w:rPr>
        <w:t xml:space="preserve"> </w:t>
      </w:r>
    </w:p>
  </w:footnote>
  <w:footnote w:id="3">
    <w:p w:rsidR="004B0B0A" w:rsidRPr="006015AE" w:rsidRDefault="00C86CEE" w:rsidP="004B0B0A">
      <w:pPr>
        <w:pStyle w:val="FootnoteText"/>
        <w:rPr>
          <w:rFonts w:asciiTheme="minorBidi" w:hAnsiTheme="minorBidi" w:cstheme="minorBidi"/>
        </w:rPr>
      </w:pPr>
      <w:r w:rsidRPr="006015AE">
        <w:rPr>
          <w:rStyle w:val="FootnoteReference"/>
          <w:rFonts w:asciiTheme="minorBidi" w:hAnsiTheme="minorBidi" w:cstheme="minorBidi"/>
        </w:rPr>
        <w:footnoteRef/>
      </w:r>
      <w:r w:rsidRPr="006015AE">
        <w:rPr>
          <w:rFonts w:asciiTheme="minorBidi" w:hAnsiTheme="minorBidi" w:cstheme="minorBidi"/>
          <w:rtl/>
        </w:rPr>
        <w:t xml:space="preserve"> يمكن تعديل العمر بناءً على نضوج الطفل.</w:t>
      </w:r>
    </w:p>
  </w:footnote>
  <w:footnote w:id="4">
    <w:p w:rsidR="004B0B0A" w:rsidRPr="006015AE" w:rsidRDefault="00C86CEE" w:rsidP="004B0B0A">
      <w:pPr>
        <w:pStyle w:val="FootnoteText"/>
        <w:rPr>
          <w:rFonts w:asciiTheme="minorBidi" w:hAnsiTheme="minorBidi" w:cstheme="minorBidi"/>
        </w:rPr>
      </w:pPr>
      <w:r w:rsidRPr="006015AE">
        <w:rPr>
          <w:rStyle w:val="FootnoteReference"/>
          <w:rFonts w:asciiTheme="minorBidi" w:hAnsiTheme="minorBidi" w:cstheme="minorBidi"/>
        </w:rPr>
        <w:footnoteRef/>
      </w:r>
      <w:r w:rsidRPr="006015AE">
        <w:rPr>
          <w:rFonts w:asciiTheme="minorBidi" w:hAnsiTheme="minorBidi" w:cstheme="minorBidi"/>
          <w:rtl/>
        </w:rPr>
        <w:t xml:space="preserve"> المرجع السابق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F" w:rsidRPr="00093C84" w:rsidRDefault="00C86CEE" w:rsidP="00093C84">
    <w:pPr>
      <w:pStyle w:val="Header"/>
      <w:tabs>
        <w:tab w:val="clear" w:pos="4320"/>
        <w:tab w:val="clear" w:pos="8640"/>
        <w:tab w:val="right" w:pos="9360"/>
      </w:tabs>
      <w:rPr>
        <w:rFonts w:ascii="Calibri" w:hAnsi="Calibri" w:cs="Arial"/>
        <w:color w:val="808080"/>
        <w:sz w:val="20"/>
        <w:szCs w:val="22"/>
        <w:rtl/>
      </w:rPr>
    </w:pPr>
    <w:r w:rsidRPr="006015AE">
      <w:rPr>
        <w:rFonts w:ascii="Calibri" w:hAnsi="Calibri" w:cs="Arial"/>
        <w:color w:val="808080"/>
        <w:sz w:val="20"/>
        <w:szCs w:val="22"/>
        <w:rtl/>
      </w:rPr>
      <w:t>دليل التدريب على إدارة الحالات</w:t>
    </w:r>
    <w:r w:rsidRPr="006015AE">
      <w:rPr>
        <w:rFonts w:ascii="Calibri" w:hAnsi="Calibri" w:cs="Arial"/>
        <w:color w:val="808080"/>
        <w:sz w:val="20"/>
        <w:szCs w:val="22"/>
        <w:rtl/>
      </w:rPr>
      <w:tab/>
    </w:r>
    <w:r w:rsidRPr="006015AE">
      <w:rPr>
        <w:rFonts w:ascii="Calibri" w:hAnsi="Calibri" w:cs="Arial"/>
        <w:color w:val="808080"/>
        <w:sz w:val="20"/>
        <w:szCs w:val="22"/>
        <w:rtl/>
      </w:rPr>
      <w:t xml:space="preserve">فريق </w:t>
    </w:r>
    <w:r w:rsidR="00093C84">
      <w:rPr>
        <w:rFonts w:ascii="Calibri" w:hAnsi="Calibri" w:cs="Arial" w:hint="cs"/>
        <w:color w:val="808080"/>
        <w:sz w:val="20"/>
        <w:szCs w:val="22"/>
        <w:rtl/>
      </w:rPr>
      <w:t>ال</w:t>
    </w:r>
    <w:r w:rsidRPr="006015AE">
      <w:rPr>
        <w:rFonts w:ascii="Calibri" w:hAnsi="Calibri" w:cs="Arial"/>
        <w:color w:val="808080"/>
        <w:sz w:val="20"/>
        <w:szCs w:val="22"/>
        <w:rtl/>
      </w:rPr>
      <w:t xml:space="preserve">عمل </w:t>
    </w:r>
    <w:r w:rsidR="00093C84">
      <w:rPr>
        <w:rFonts w:ascii="Calibri" w:hAnsi="Calibri" w:cs="Arial" w:hint="cs"/>
        <w:color w:val="808080"/>
        <w:sz w:val="20"/>
        <w:szCs w:val="22"/>
        <w:rtl/>
      </w:rPr>
      <w:t>المعني ب</w:t>
    </w:r>
    <w:r w:rsidRPr="006015AE">
      <w:rPr>
        <w:rFonts w:ascii="Calibri" w:hAnsi="Calibri" w:cs="Arial"/>
        <w:color w:val="808080"/>
        <w:sz w:val="20"/>
        <w:szCs w:val="22"/>
        <w:rtl/>
      </w:rPr>
      <w:t>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77AA"/>
    <w:multiLevelType w:val="hybridMultilevel"/>
    <w:tmpl w:val="EFFE74EE"/>
    <w:lvl w:ilvl="0" w:tplc="F07A3748">
      <w:start w:val="1"/>
      <w:numFmt w:val="bullet"/>
      <w:lvlText w:val=""/>
      <w:lvlJc w:val="left"/>
      <w:pPr>
        <w:tabs>
          <w:tab w:val="num" w:pos="720"/>
        </w:tabs>
        <w:ind w:left="720" w:hanging="360"/>
      </w:pPr>
      <w:rPr>
        <w:rFonts w:ascii="Symbol" w:hAnsi="Symbol" w:hint="default"/>
      </w:rPr>
    </w:lvl>
    <w:lvl w:ilvl="1" w:tplc="3A706D4C" w:tentative="1">
      <w:start w:val="1"/>
      <w:numFmt w:val="bullet"/>
      <w:lvlText w:val="o"/>
      <w:lvlJc w:val="left"/>
      <w:pPr>
        <w:tabs>
          <w:tab w:val="num" w:pos="1440"/>
        </w:tabs>
        <w:ind w:left="1440" w:hanging="360"/>
      </w:pPr>
      <w:rPr>
        <w:rFonts w:ascii="Courier New" w:hAnsi="Courier New" w:cs="Courier New" w:hint="default"/>
      </w:rPr>
    </w:lvl>
    <w:lvl w:ilvl="2" w:tplc="785830C4" w:tentative="1">
      <w:start w:val="1"/>
      <w:numFmt w:val="bullet"/>
      <w:lvlText w:val=""/>
      <w:lvlJc w:val="left"/>
      <w:pPr>
        <w:tabs>
          <w:tab w:val="num" w:pos="2160"/>
        </w:tabs>
        <w:ind w:left="2160" w:hanging="360"/>
      </w:pPr>
      <w:rPr>
        <w:rFonts w:ascii="Wingdings" w:hAnsi="Wingdings" w:hint="default"/>
      </w:rPr>
    </w:lvl>
    <w:lvl w:ilvl="3" w:tplc="4C5A944C" w:tentative="1">
      <w:start w:val="1"/>
      <w:numFmt w:val="bullet"/>
      <w:lvlText w:val=""/>
      <w:lvlJc w:val="left"/>
      <w:pPr>
        <w:tabs>
          <w:tab w:val="num" w:pos="2880"/>
        </w:tabs>
        <w:ind w:left="2880" w:hanging="360"/>
      </w:pPr>
      <w:rPr>
        <w:rFonts w:ascii="Symbol" w:hAnsi="Symbol" w:hint="default"/>
      </w:rPr>
    </w:lvl>
    <w:lvl w:ilvl="4" w:tplc="9EC213DC" w:tentative="1">
      <w:start w:val="1"/>
      <w:numFmt w:val="bullet"/>
      <w:lvlText w:val="o"/>
      <w:lvlJc w:val="left"/>
      <w:pPr>
        <w:tabs>
          <w:tab w:val="num" w:pos="3600"/>
        </w:tabs>
        <w:ind w:left="3600" w:hanging="360"/>
      </w:pPr>
      <w:rPr>
        <w:rFonts w:ascii="Courier New" w:hAnsi="Courier New" w:cs="Courier New" w:hint="default"/>
      </w:rPr>
    </w:lvl>
    <w:lvl w:ilvl="5" w:tplc="375ACD6C" w:tentative="1">
      <w:start w:val="1"/>
      <w:numFmt w:val="bullet"/>
      <w:lvlText w:val=""/>
      <w:lvlJc w:val="left"/>
      <w:pPr>
        <w:tabs>
          <w:tab w:val="num" w:pos="4320"/>
        </w:tabs>
        <w:ind w:left="4320" w:hanging="360"/>
      </w:pPr>
      <w:rPr>
        <w:rFonts w:ascii="Wingdings" w:hAnsi="Wingdings" w:hint="default"/>
      </w:rPr>
    </w:lvl>
    <w:lvl w:ilvl="6" w:tplc="480C532E" w:tentative="1">
      <w:start w:val="1"/>
      <w:numFmt w:val="bullet"/>
      <w:lvlText w:val=""/>
      <w:lvlJc w:val="left"/>
      <w:pPr>
        <w:tabs>
          <w:tab w:val="num" w:pos="5040"/>
        </w:tabs>
        <w:ind w:left="5040" w:hanging="360"/>
      </w:pPr>
      <w:rPr>
        <w:rFonts w:ascii="Symbol" w:hAnsi="Symbol" w:hint="default"/>
      </w:rPr>
    </w:lvl>
    <w:lvl w:ilvl="7" w:tplc="687E17E2" w:tentative="1">
      <w:start w:val="1"/>
      <w:numFmt w:val="bullet"/>
      <w:lvlText w:val="o"/>
      <w:lvlJc w:val="left"/>
      <w:pPr>
        <w:tabs>
          <w:tab w:val="num" w:pos="5760"/>
        </w:tabs>
        <w:ind w:left="5760" w:hanging="360"/>
      </w:pPr>
      <w:rPr>
        <w:rFonts w:ascii="Courier New" w:hAnsi="Courier New" w:cs="Courier New" w:hint="default"/>
      </w:rPr>
    </w:lvl>
    <w:lvl w:ilvl="8" w:tplc="B816A20A" w:tentative="1">
      <w:start w:val="1"/>
      <w:numFmt w:val="bullet"/>
      <w:lvlText w:val=""/>
      <w:lvlJc w:val="left"/>
      <w:pPr>
        <w:tabs>
          <w:tab w:val="num" w:pos="6480"/>
        </w:tabs>
        <w:ind w:left="6480" w:hanging="360"/>
      </w:pPr>
      <w:rPr>
        <w:rFonts w:ascii="Wingdings" w:hAnsi="Wingdings" w:hint="default"/>
      </w:rPr>
    </w:lvl>
  </w:abstractNum>
  <w:abstractNum w:abstractNumId="1">
    <w:nsid w:val="128401EA"/>
    <w:multiLevelType w:val="hybridMultilevel"/>
    <w:tmpl w:val="365CBDB6"/>
    <w:lvl w:ilvl="0" w:tplc="DE6EE18C">
      <w:start w:val="1"/>
      <w:numFmt w:val="bullet"/>
      <w:lvlText w:val=""/>
      <w:lvlJc w:val="left"/>
      <w:pPr>
        <w:ind w:left="720" w:hanging="360"/>
      </w:pPr>
      <w:rPr>
        <w:rFonts w:ascii="Symbol" w:hAnsi="Symbol" w:hint="default"/>
      </w:rPr>
    </w:lvl>
    <w:lvl w:ilvl="1" w:tplc="6EBECD6A" w:tentative="1">
      <w:start w:val="1"/>
      <w:numFmt w:val="bullet"/>
      <w:lvlText w:val="o"/>
      <w:lvlJc w:val="left"/>
      <w:pPr>
        <w:ind w:left="1440" w:hanging="360"/>
      </w:pPr>
      <w:rPr>
        <w:rFonts w:ascii="Courier New" w:hAnsi="Courier New" w:hint="default"/>
      </w:rPr>
    </w:lvl>
    <w:lvl w:ilvl="2" w:tplc="FD00A484" w:tentative="1">
      <w:start w:val="1"/>
      <w:numFmt w:val="bullet"/>
      <w:lvlText w:val=""/>
      <w:lvlJc w:val="left"/>
      <w:pPr>
        <w:ind w:left="2160" w:hanging="360"/>
      </w:pPr>
      <w:rPr>
        <w:rFonts w:ascii="Wingdings" w:hAnsi="Wingdings" w:hint="default"/>
      </w:rPr>
    </w:lvl>
    <w:lvl w:ilvl="3" w:tplc="EE7ED7A4" w:tentative="1">
      <w:start w:val="1"/>
      <w:numFmt w:val="bullet"/>
      <w:lvlText w:val=""/>
      <w:lvlJc w:val="left"/>
      <w:pPr>
        <w:ind w:left="2880" w:hanging="360"/>
      </w:pPr>
      <w:rPr>
        <w:rFonts w:ascii="Symbol" w:hAnsi="Symbol" w:hint="default"/>
      </w:rPr>
    </w:lvl>
    <w:lvl w:ilvl="4" w:tplc="692665E6" w:tentative="1">
      <w:start w:val="1"/>
      <w:numFmt w:val="bullet"/>
      <w:lvlText w:val="o"/>
      <w:lvlJc w:val="left"/>
      <w:pPr>
        <w:ind w:left="3600" w:hanging="360"/>
      </w:pPr>
      <w:rPr>
        <w:rFonts w:ascii="Courier New" w:hAnsi="Courier New" w:hint="default"/>
      </w:rPr>
    </w:lvl>
    <w:lvl w:ilvl="5" w:tplc="B5B2E45E" w:tentative="1">
      <w:start w:val="1"/>
      <w:numFmt w:val="bullet"/>
      <w:lvlText w:val=""/>
      <w:lvlJc w:val="left"/>
      <w:pPr>
        <w:ind w:left="4320" w:hanging="360"/>
      </w:pPr>
      <w:rPr>
        <w:rFonts w:ascii="Wingdings" w:hAnsi="Wingdings" w:hint="default"/>
      </w:rPr>
    </w:lvl>
    <w:lvl w:ilvl="6" w:tplc="91140E0E" w:tentative="1">
      <w:start w:val="1"/>
      <w:numFmt w:val="bullet"/>
      <w:lvlText w:val=""/>
      <w:lvlJc w:val="left"/>
      <w:pPr>
        <w:ind w:left="5040" w:hanging="360"/>
      </w:pPr>
      <w:rPr>
        <w:rFonts w:ascii="Symbol" w:hAnsi="Symbol" w:hint="default"/>
      </w:rPr>
    </w:lvl>
    <w:lvl w:ilvl="7" w:tplc="730C18E0" w:tentative="1">
      <w:start w:val="1"/>
      <w:numFmt w:val="bullet"/>
      <w:lvlText w:val="o"/>
      <w:lvlJc w:val="left"/>
      <w:pPr>
        <w:ind w:left="5760" w:hanging="360"/>
      </w:pPr>
      <w:rPr>
        <w:rFonts w:ascii="Courier New" w:hAnsi="Courier New" w:hint="default"/>
      </w:rPr>
    </w:lvl>
    <w:lvl w:ilvl="8" w:tplc="CEECD01C" w:tentative="1">
      <w:start w:val="1"/>
      <w:numFmt w:val="bullet"/>
      <w:lvlText w:val=""/>
      <w:lvlJc w:val="left"/>
      <w:pPr>
        <w:ind w:left="6480" w:hanging="360"/>
      </w:pPr>
      <w:rPr>
        <w:rFonts w:ascii="Wingdings" w:hAnsi="Wingdings" w:hint="default"/>
      </w:rPr>
    </w:lvl>
  </w:abstractNum>
  <w:abstractNum w:abstractNumId="2">
    <w:nsid w:val="1C6D420C"/>
    <w:multiLevelType w:val="hybridMultilevel"/>
    <w:tmpl w:val="BB02EDD4"/>
    <w:lvl w:ilvl="0" w:tplc="68FACC5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4BE96885"/>
    <w:multiLevelType w:val="hybridMultilevel"/>
    <w:tmpl w:val="5EF2FC8C"/>
    <w:lvl w:ilvl="0" w:tplc="0C02EDF2">
      <w:start w:val="1"/>
      <w:numFmt w:val="decimal"/>
      <w:lvlText w:val="%1."/>
      <w:lvlJc w:val="left"/>
      <w:pPr>
        <w:tabs>
          <w:tab w:val="num" w:pos="720"/>
        </w:tabs>
        <w:ind w:left="720" w:hanging="360"/>
      </w:pPr>
    </w:lvl>
    <w:lvl w:ilvl="1" w:tplc="EBAA7D88" w:tentative="1">
      <w:start w:val="1"/>
      <w:numFmt w:val="lowerLetter"/>
      <w:lvlText w:val="%2."/>
      <w:lvlJc w:val="left"/>
      <w:pPr>
        <w:tabs>
          <w:tab w:val="num" w:pos="1440"/>
        </w:tabs>
        <w:ind w:left="1440" w:hanging="360"/>
      </w:pPr>
    </w:lvl>
    <w:lvl w:ilvl="2" w:tplc="4D949102" w:tentative="1">
      <w:start w:val="1"/>
      <w:numFmt w:val="lowerRoman"/>
      <w:lvlText w:val="%3."/>
      <w:lvlJc w:val="right"/>
      <w:pPr>
        <w:tabs>
          <w:tab w:val="num" w:pos="2160"/>
        </w:tabs>
        <w:ind w:left="2160" w:hanging="180"/>
      </w:pPr>
    </w:lvl>
    <w:lvl w:ilvl="3" w:tplc="8F6A821E" w:tentative="1">
      <w:start w:val="1"/>
      <w:numFmt w:val="decimal"/>
      <w:lvlText w:val="%4."/>
      <w:lvlJc w:val="left"/>
      <w:pPr>
        <w:tabs>
          <w:tab w:val="num" w:pos="2880"/>
        </w:tabs>
        <w:ind w:left="2880" w:hanging="360"/>
      </w:pPr>
    </w:lvl>
    <w:lvl w:ilvl="4" w:tplc="339AFCE4" w:tentative="1">
      <w:start w:val="1"/>
      <w:numFmt w:val="lowerLetter"/>
      <w:lvlText w:val="%5."/>
      <w:lvlJc w:val="left"/>
      <w:pPr>
        <w:tabs>
          <w:tab w:val="num" w:pos="3600"/>
        </w:tabs>
        <w:ind w:left="3600" w:hanging="360"/>
      </w:pPr>
    </w:lvl>
    <w:lvl w:ilvl="5" w:tplc="7F94CC26" w:tentative="1">
      <w:start w:val="1"/>
      <w:numFmt w:val="lowerRoman"/>
      <w:lvlText w:val="%6."/>
      <w:lvlJc w:val="right"/>
      <w:pPr>
        <w:tabs>
          <w:tab w:val="num" w:pos="4320"/>
        </w:tabs>
        <w:ind w:left="4320" w:hanging="180"/>
      </w:pPr>
    </w:lvl>
    <w:lvl w:ilvl="6" w:tplc="6F0A34F2" w:tentative="1">
      <w:start w:val="1"/>
      <w:numFmt w:val="decimal"/>
      <w:lvlText w:val="%7."/>
      <w:lvlJc w:val="left"/>
      <w:pPr>
        <w:tabs>
          <w:tab w:val="num" w:pos="5040"/>
        </w:tabs>
        <w:ind w:left="5040" w:hanging="360"/>
      </w:pPr>
    </w:lvl>
    <w:lvl w:ilvl="7" w:tplc="B7BAFEEC" w:tentative="1">
      <w:start w:val="1"/>
      <w:numFmt w:val="lowerLetter"/>
      <w:lvlText w:val="%8."/>
      <w:lvlJc w:val="left"/>
      <w:pPr>
        <w:tabs>
          <w:tab w:val="num" w:pos="5760"/>
        </w:tabs>
        <w:ind w:left="5760" w:hanging="360"/>
      </w:pPr>
    </w:lvl>
    <w:lvl w:ilvl="8" w:tplc="4580BE16" w:tentative="1">
      <w:start w:val="1"/>
      <w:numFmt w:val="lowerRoman"/>
      <w:lvlText w:val="%9."/>
      <w:lvlJc w:val="right"/>
      <w:pPr>
        <w:tabs>
          <w:tab w:val="num" w:pos="6480"/>
        </w:tabs>
        <w:ind w:left="6480" w:hanging="180"/>
      </w:pPr>
    </w:lvl>
  </w:abstractNum>
  <w:abstractNum w:abstractNumId="4">
    <w:nsid w:val="579E11D7"/>
    <w:multiLevelType w:val="multilevel"/>
    <w:tmpl w:val="E2D234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242112C"/>
    <w:multiLevelType w:val="hybridMultilevel"/>
    <w:tmpl w:val="E2D23402"/>
    <w:lvl w:ilvl="0" w:tplc="B00689FC">
      <w:start w:val="1"/>
      <w:numFmt w:val="decimal"/>
      <w:lvlText w:val="%1."/>
      <w:lvlJc w:val="left"/>
      <w:pPr>
        <w:tabs>
          <w:tab w:val="num" w:pos="720"/>
        </w:tabs>
        <w:ind w:left="720" w:hanging="360"/>
      </w:pPr>
    </w:lvl>
    <w:lvl w:ilvl="1" w:tplc="0340221A" w:tentative="1">
      <w:start w:val="1"/>
      <w:numFmt w:val="lowerLetter"/>
      <w:lvlText w:val="%2."/>
      <w:lvlJc w:val="left"/>
      <w:pPr>
        <w:tabs>
          <w:tab w:val="num" w:pos="1440"/>
        </w:tabs>
        <w:ind w:left="1440" w:hanging="360"/>
      </w:pPr>
    </w:lvl>
    <w:lvl w:ilvl="2" w:tplc="B9581392" w:tentative="1">
      <w:start w:val="1"/>
      <w:numFmt w:val="lowerRoman"/>
      <w:lvlText w:val="%3."/>
      <w:lvlJc w:val="right"/>
      <w:pPr>
        <w:tabs>
          <w:tab w:val="num" w:pos="2160"/>
        </w:tabs>
        <w:ind w:left="2160" w:hanging="180"/>
      </w:pPr>
    </w:lvl>
    <w:lvl w:ilvl="3" w:tplc="087A8844" w:tentative="1">
      <w:start w:val="1"/>
      <w:numFmt w:val="decimal"/>
      <w:lvlText w:val="%4."/>
      <w:lvlJc w:val="left"/>
      <w:pPr>
        <w:tabs>
          <w:tab w:val="num" w:pos="2880"/>
        </w:tabs>
        <w:ind w:left="2880" w:hanging="360"/>
      </w:pPr>
    </w:lvl>
    <w:lvl w:ilvl="4" w:tplc="1A580A14" w:tentative="1">
      <w:start w:val="1"/>
      <w:numFmt w:val="lowerLetter"/>
      <w:lvlText w:val="%5."/>
      <w:lvlJc w:val="left"/>
      <w:pPr>
        <w:tabs>
          <w:tab w:val="num" w:pos="3600"/>
        </w:tabs>
        <w:ind w:left="3600" w:hanging="360"/>
      </w:pPr>
    </w:lvl>
    <w:lvl w:ilvl="5" w:tplc="E7CAE4DA" w:tentative="1">
      <w:start w:val="1"/>
      <w:numFmt w:val="lowerRoman"/>
      <w:lvlText w:val="%6."/>
      <w:lvlJc w:val="right"/>
      <w:pPr>
        <w:tabs>
          <w:tab w:val="num" w:pos="4320"/>
        </w:tabs>
        <w:ind w:left="4320" w:hanging="180"/>
      </w:pPr>
    </w:lvl>
    <w:lvl w:ilvl="6" w:tplc="4372D788" w:tentative="1">
      <w:start w:val="1"/>
      <w:numFmt w:val="decimal"/>
      <w:lvlText w:val="%7."/>
      <w:lvlJc w:val="left"/>
      <w:pPr>
        <w:tabs>
          <w:tab w:val="num" w:pos="5040"/>
        </w:tabs>
        <w:ind w:left="5040" w:hanging="360"/>
      </w:pPr>
    </w:lvl>
    <w:lvl w:ilvl="7" w:tplc="33D49CEC" w:tentative="1">
      <w:start w:val="1"/>
      <w:numFmt w:val="lowerLetter"/>
      <w:lvlText w:val="%8."/>
      <w:lvlJc w:val="left"/>
      <w:pPr>
        <w:tabs>
          <w:tab w:val="num" w:pos="5760"/>
        </w:tabs>
        <w:ind w:left="5760" w:hanging="360"/>
      </w:pPr>
    </w:lvl>
    <w:lvl w:ilvl="8" w:tplc="B1B4D596"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6BA"/>
    <w:rsid w:val="00093C84"/>
    <w:rsid w:val="004C36BA"/>
    <w:rsid w:val="006015AE"/>
    <w:rsid w:val="00B26DEA"/>
    <w:rsid w:val="00C86C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E0E"/>
    <w:pPr>
      <w:bidi/>
    </w:pPr>
    <w:rPr>
      <w:sz w:val="24"/>
      <w:szCs w:val="24"/>
    </w:rPr>
  </w:style>
  <w:style w:type="paragraph" w:styleId="Heading2">
    <w:name w:val="heading 2"/>
    <w:basedOn w:val="Normal"/>
    <w:next w:val="Normal"/>
    <w:link w:val="Heading2Char"/>
    <w:autoRedefine/>
    <w:uiPriority w:val="99"/>
    <w:qFormat/>
    <w:rsid w:val="004B0B0A"/>
    <w:pPr>
      <w:keepNext/>
      <w:keepLines/>
      <w:spacing w:line="360" w:lineRule="auto"/>
      <w:ind w:left="576"/>
      <w:jc w:val="center"/>
      <w:outlineLvl w:val="1"/>
    </w:pPr>
    <w:rPr>
      <w:rFonts w:ascii="Arial" w:hAnsi="Arial" w:cs="Arial"/>
      <w:b/>
      <w:bCs/>
      <w:szCs w:val="26"/>
      <w:u w:val="single"/>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66596"/>
    <w:rPr>
      <w:sz w:val="20"/>
      <w:szCs w:val="20"/>
    </w:rPr>
  </w:style>
  <w:style w:type="character" w:styleId="FootnoteReference">
    <w:name w:val="footnote reference"/>
    <w:aliases w:val="BVI fnr,BVI fnr Car Car,BVI fnr Car,BVI fnr Car Car Car Car, BVI fnr, BVI fnr Car Car, BVI fnr Car Car Car Car"/>
    <w:uiPriority w:val="99"/>
    <w:rsid w:val="00B66596"/>
    <w:rPr>
      <w:vertAlign w:val="superscript"/>
    </w:rPr>
  </w:style>
  <w:style w:type="paragraph" w:styleId="Footer">
    <w:name w:val="footer"/>
    <w:basedOn w:val="Normal"/>
    <w:link w:val="FooterChar"/>
    <w:uiPriority w:val="99"/>
    <w:rsid w:val="00020313"/>
    <w:pPr>
      <w:tabs>
        <w:tab w:val="center" w:pos="4320"/>
        <w:tab w:val="right" w:pos="8640"/>
      </w:tabs>
    </w:pPr>
  </w:style>
  <w:style w:type="character" w:styleId="PageNumber">
    <w:name w:val="page number"/>
    <w:basedOn w:val="DefaultParagraphFont"/>
    <w:rsid w:val="00020313"/>
  </w:style>
  <w:style w:type="paragraph" w:styleId="Header">
    <w:name w:val="header"/>
    <w:aliases w:val="ARC header"/>
    <w:basedOn w:val="Normal"/>
    <w:link w:val="HeaderChar"/>
    <w:uiPriority w:val="99"/>
    <w:rsid w:val="00020313"/>
    <w:pPr>
      <w:tabs>
        <w:tab w:val="center" w:pos="4320"/>
        <w:tab w:val="right" w:pos="8640"/>
      </w:tabs>
    </w:pPr>
  </w:style>
  <w:style w:type="paragraph" w:styleId="ListParagraph">
    <w:name w:val="List Paragraph"/>
    <w:basedOn w:val="Normal"/>
    <w:uiPriority w:val="34"/>
    <w:qFormat/>
    <w:rsid w:val="00390FE2"/>
    <w:pPr>
      <w:ind w:left="720"/>
    </w:pPr>
  </w:style>
  <w:style w:type="character" w:styleId="CommentReference">
    <w:name w:val="annotation reference"/>
    <w:uiPriority w:val="99"/>
    <w:rsid w:val="0062365C"/>
    <w:rPr>
      <w:sz w:val="16"/>
      <w:szCs w:val="16"/>
    </w:rPr>
  </w:style>
  <w:style w:type="paragraph" w:styleId="CommentText">
    <w:name w:val="annotation text"/>
    <w:basedOn w:val="Normal"/>
    <w:link w:val="CommentTextChar"/>
    <w:uiPriority w:val="99"/>
    <w:rsid w:val="0062365C"/>
    <w:rPr>
      <w:sz w:val="20"/>
      <w:szCs w:val="20"/>
    </w:rPr>
  </w:style>
  <w:style w:type="paragraph" w:styleId="CommentSubject">
    <w:name w:val="annotation subject"/>
    <w:basedOn w:val="CommentText"/>
    <w:next w:val="CommentText"/>
    <w:semiHidden/>
    <w:rsid w:val="0062365C"/>
    <w:rPr>
      <w:b/>
      <w:bCs/>
    </w:rPr>
  </w:style>
  <w:style w:type="paragraph" w:styleId="BalloonText">
    <w:name w:val="Balloon Text"/>
    <w:basedOn w:val="Normal"/>
    <w:semiHidden/>
    <w:rsid w:val="0062365C"/>
    <w:rPr>
      <w:rFonts w:ascii="Tahoma" w:hAnsi="Tahoma" w:cs="Tahoma"/>
      <w:sz w:val="16"/>
      <w:szCs w:val="16"/>
    </w:rPr>
  </w:style>
  <w:style w:type="character" w:customStyle="1" w:styleId="FooterChar">
    <w:name w:val="Footer Char"/>
    <w:link w:val="Footer"/>
    <w:uiPriority w:val="99"/>
    <w:rsid w:val="008A5D39"/>
    <w:rPr>
      <w:sz w:val="24"/>
      <w:szCs w:val="24"/>
      <w:lang w:val="en-US" w:eastAsia="en-US"/>
    </w:rPr>
  </w:style>
  <w:style w:type="character" w:customStyle="1" w:styleId="Heading2Char">
    <w:name w:val="Heading 2 Char"/>
    <w:link w:val="Heading2"/>
    <w:uiPriority w:val="99"/>
    <w:rsid w:val="004B0B0A"/>
    <w:rPr>
      <w:rFonts w:ascii="Arial" w:hAnsi="Arial" w:cs="Arial"/>
      <w:b/>
      <w:bCs/>
      <w:sz w:val="24"/>
      <w:szCs w:val="26"/>
      <w:u w:val="single"/>
      <w:lang w:eastAsia="en-AU"/>
    </w:rPr>
  </w:style>
  <w:style w:type="character" w:customStyle="1" w:styleId="CommentTextChar">
    <w:name w:val="Comment Text Char"/>
    <w:link w:val="CommentText"/>
    <w:uiPriority w:val="99"/>
    <w:rsid w:val="004B0B0A"/>
    <w:rPr>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4B0B0A"/>
    <w:rPr>
      <w:lang w:val="en-US" w:eastAsia="en-US"/>
    </w:rPr>
  </w:style>
  <w:style w:type="character" w:styleId="Hyperlink">
    <w:name w:val="Hyperlink"/>
    <w:uiPriority w:val="99"/>
    <w:rsid w:val="004B0B0A"/>
    <w:rPr>
      <w:rFonts w:cs="Times New Roman"/>
      <w:color w:val="0000FF"/>
      <w:u w:val="single"/>
    </w:rPr>
  </w:style>
  <w:style w:type="character" w:customStyle="1" w:styleId="HeaderChar">
    <w:name w:val="Header Char"/>
    <w:aliases w:val="ARC header Char"/>
    <w:link w:val="Header"/>
    <w:uiPriority w:val="99"/>
    <w:rsid w:val="004B0B0A"/>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E0E"/>
    <w:pPr>
      <w:bidi/>
    </w:pPr>
    <w:rPr>
      <w:sz w:val="24"/>
      <w:szCs w:val="24"/>
    </w:rPr>
  </w:style>
  <w:style w:type="paragraph" w:styleId="Heading2">
    <w:name w:val="heading 2"/>
    <w:basedOn w:val="Normal"/>
    <w:next w:val="Normal"/>
    <w:link w:val="Heading2Char"/>
    <w:autoRedefine/>
    <w:uiPriority w:val="99"/>
    <w:qFormat/>
    <w:rsid w:val="004B0B0A"/>
    <w:pPr>
      <w:keepNext/>
      <w:keepLines/>
      <w:spacing w:line="360" w:lineRule="auto"/>
      <w:ind w:left="576"/>
      <w:jc w:val="center"/>
      <w:outlineLvl w:val="1"/>
    </w:pPr>
    <w:rPr>
      <w:rFonts w:ascii="Arial" w:hAnsi="Arial" w:cs="Arial"/>
      <w:b/>
      <w:bCs/>
      <w:szCs w:val="26"/>
      <w:u w:val="single"/>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66596"/>
    <w:rPr>
      <w:sz w:val="20"/>
      <w:szCs w:val="20"/>
    </w:rPr>
  </w:style>
  <w:style w:type="character" w:styleId="FootnoteReference">
    <w:name w:val="footnote reference"/>
    <w:aliases w:val="BVI fnr,BVI fnr Car Car,BVI fnr Car,BVI fnr Car Car Car Car, BVI fnr, BVI fnr Car Car, BVI fnr Car Car Car Car"/>
    <w:uiPriority w:val="99"/>
    <w:rsid w:val="00B66596"/>
    <w:rPr>
      <w:vertAlign w:val="superscript"/>
    </w:rPr>
  </w:style>
  <w:style w:type="paragraph" w:styleId="Footer">
    <w:name w:val="footer"/>
    <w:basedOn w:val="Normal"/>
    <w:link w:val="FooterChar"/>
    <w:uiPriority w:val="99"/>
    <w:rsid w:val="00020313"/>
    <w:pPr>
      <w:tabs>
        <w:tab w:val="center" w:pos="4320"/>
        <w:tab w:val="right" w:pos="8640"/>
      </w:tabs>
    </w:pPr>
  </w:style>
  <w:style w:type="character" w:styleId="PageNumber">
    <w:name w:val="page number"/>
    <w:basedOn w:val="DefaultParagraphFont"/>
    <w:rsid w:val="00020313"/>
  </w:style>
  <w:style w:type="paragraph" w:styleId="Header">
    <w:name w:val="header"/>
    <w:aliases w:val="ARC header"/>
    <w:basedOn w:val="Normal"/>
    <w:link w:val="HeaderChar"/>
    <w:uiPriority w:val="99"/>
    <w:rsid w:val="00020313"/>
    <w:pPr>
      <w:tabs>
        <w:tab w:val="center" w:pos="4320"/>
        <w:tab w:val="right" w:pos="8640"/>
      </w:tabs>
    </w:pPr>
  </w:style>
  <w:style w:type="paragraph" w:styleId="ListParagraph">
    <w:name w:val="List Paragraph"/>
    <w:basedOn w:val="Normal"/>
    <w:uiPriority w:val="34"/>
    <w:qFormat/>
    <w:rsid w:val="00390FE2"/>
    <w:pPr>
      <w:ind w:left="720"/>
    </w:pPr>
  </w:style>
  <w:style w:type="character" w:styleId="CommentReference">
    <w:name w:val="annotation reference"/>
    <w:uiPriority w:val="99"/>
    <w:rsid w:val="0062365C"/>
    <w:rPr>
      <w:sz w:val="16"/>
      <w:szCs w:val="16"/>
    </w:rPr>
  </w:style>
  <w:style w:type="paragraph" w:styleId="CommentText">
    <w:name w:val="annotation text"/>
    <w:basedOn w:val="Normal"/>
    <w:link w:val="CommentTextChar"/>
    <w:uiPriority w:val="99"/>
    <w:rsid w:val="0062365C"/>
    <w:rPr>
      <w:sz w:val="20"/>
      <w:szCs w:val="20"/>
    </w:rPr>
  </w:style>
  <w:style w:type="paragraph" w:styleId="CommentSubject">
    <w:name w:val="annotation subject"/>
    <w:basedOn w:val="CommentText"/>
    <w:next w:val="CommentText"/>
    <w:semiHidden/>
    <w:rsid w:val="0062365C"/>
    <w:rPr>
      <w:b/>
      <w:bCs/>
    </w:rPr>
  </w:style>
  <w:style w:type="paragraph" w:styleId="BalloonText">
    <w:name w:val="Balloon Text"/>
    <w:basedOn w:val="Normal"/>
    <w:semiHidden/>
    <w:rsid w:val="0062365C"/>
    <w:rPr>
      <w:rFonts w:ascii="Tahoma" w:hAnsi="Tahoma" w:cs="Tahoma"/>
      <w:sz w:val="16"/>
      <w:szCs w:val="16"/>
    </w:rPr>
  </w:style>
  <w:style w:type="character" w:customStyle="1" w:styleId="FooterChar">
    <w:name w:val="Footer Char"/>
    <w:link w:val="Footer"/>
    <w:uiPriority w:val="99"/>
    <w:rsid w:val="008A5D39"/>
    <w:rPr>
      <w:sz w:val="24"/>
      <w:szCs w:val="24"/>
      <w:lang w:val="en-US" w:eastAsia="en-US"/>
    </w:rPr>
  </w:style>
  <w:style w:type="character" w:customStyle="1" w:styleId="Heading2Char">
    <w:name w:val="Heading 2 Char"/>
    <w:link w:val="Heading2"/>
    <w:uiPriority w:val="99"/>
    <w:rsid w:val="004B0B0A"/>
    <w:rPr>
      <w:rFonts w:ascii="Arial" w:hAnsi="Arial" w:cs="Arial"/>
      <w:b/>
      <w:bCs/>
      <w:sz w:val="24"/>
      <w:szCs w:val="26"/>
      <w:u w:val="single"/>
      <w:lang w:eastAsia="en-AU"/>
    </w:rPr>
  </w:style>
  <w:style w:type="character" w:customStyle="1" w:styleId="CommentTextChar">
    <w:name w:val="Comment Text Char"/>
    <w:link w:val="CommentText"/>
    <w:uiPriority w:val="99"/>
    <w:rsid w:val="004B0B0A"/>
    <w:rPr>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4B0B0A"/>
    <w:rPr>
      <w:lang w:val="en-US" w:eastAsia="en-US"/>
    </w:rPr>
  </w:style>
  <w:style w:type="character" w:styleId="Hyperlink">
    <w:name w:val="Hyperlink"/>
    <w:uiPriority w:val="99"/>
    <w:rsid w:val="004B0B0A"/>
    <w:rPr>
      <w:rFonts w:cs="Times New Roman"/>
      <w:color w:val="0000FF"/>
      <w:u w:val="single"/>
    </w:rPr>
  </w:style>
  <w:style w:type="character" w:customStyle="1" w:styleId="HeaderChar">
    <w:name w:val="Header Char"/>
    <w:aliases w:val="ARC header Char"/>
    <w:link w:val="Header"/>
    <w:uiPriority w:val="99"/>
    <w:rsid w:val="004B0B0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1931</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Data Protection Protocols</vt:lpstr>
    </vt:vector>
  </TitlesOfParts>
  <Company>Save The Children</Company>
  <LinksUpToDate>false</LinksUpToDate>
  <CharactersWithSpaces>11805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Protocols</dc:title>
  <dc:creator>User</dc:creator>
  <cp:lastModifiedBy>AL7</cp:lastModifiedBy>
  <cp:revision>4</cp:revision>
  <cp:lastPrinted>2010-01-25T15:08:00Z</cp:lastPrinted>
  <dcterms:created xsi:type="dcterms:W3CDTF">2015-02-17T13:12:00Z</dcterms:created>
  <dcterms:modified xsi:type="dcterms:W3CDTF">2015-02-20T14:42:00Z</dcterms:modified>
</cp:coreProperties>
</file>